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07" w:rsidRPr="00F53ECD" w:rsidRDefault="00612B07" w:rsidP="00F64ACA">
      <w:pPr>
        <w:spacing w:line="276" w:lineRule="auto"/>
        <w:jc w:val="both"/>
        <w:rPr>
          <w:rFonts w:ascii="Calibri" w:hAnsi="Calibri" w:cs="Arial"/>
        </w:rPr>
      </w:pPr>
    </w:p>
    <w:p w:rsidR="00612B07" w:rsidRDefault="00E81AF5" w:rsidP="004C6A41">
      <w:pPr>
        <w:pStyle w:val="Title"/>
        <w:spacing w:line="276" w:lineRule="auto"/>
        <w:jc w:val="left"/>
      </w:pPr>
      <w:bookmarkStart w:id="0" w:name="_Toc450655805"/>
      <w:r>
        <w:t>BUSINESS CAS</w:t>
      </w:r>
      <w:bookmarkEnd w:id="0"/>
      <w:r>
        <w:t>E TEMPLATE FOR THE DEVELOPMENT OF A NEW ASEPTIC COMPOUNDING UNIT</w:t>
      </w:r>
    </w:p>
    <w:p w:rsidR="00465EEA" w:rsidRDefault="00465EEA"/>
    <w:p w:rsidR="00612B07" w:rsidRPr="00592555" w:rsidRDefault="00612B07" w:rsidP="00F64ACA">
      <w:pPr>
        <w:pStyle w:val="Heading1"/>
        <w:numPr>
          <w:ilvl w:val="0"/>
          <w:numId w:val="0"/>
        </w:numPr>
        <w:spacing w:line="276" w:lineRule="auto"/>
        <w:ind w:left="567" w:hanging="567"/>
      </w:pPr>
      <w:bookmarkStart w:id="1" w:name="_Toc307126936"/>
      <w:bookmarkStart w:id="2" w:name="_Toc307134653"/>
      <w:bookmarkStart w:id="3" w:name="_Toc450655809"/>
      <w:bookmarkStart w:id="4" w:name="_Toc452719409"/>
      <w:bookmarkStart w:id="5" w:name="_Toc15384014"/>
      <w:r w:rsidRPr="00592555">
        <w:t>Background</w:t>
      </w:r>
      <w:bookmarkEnd w:id="1"/>
      <w:bookmarkEnd w:id="2"/>
      <w:bookmarkEnd w:id="3"/>
      <w:bookmarkEnd w:id="4"/>
      <w:bookmarkEnd w:id="5"/>
      <w:r w:rsidR="00114F9F">
        <w:tab/>
      </w:r>
      <w:r w:rsidR="00114F9F">
        <w:tab/>
      </w:r>
    </w:p>
    <w:p w:rsidR="00D6089C" w:rsidRPr="00E27FA3" w:rsidRDefault="00D6089C" w:rsidP="00D01034">
      <w:pPr>
        <w:spacing w:line="276" w:lineRule="auto"/>
        <w:jc w:val="both"/>
        <w:rPr>
          <w:sz w:val="22"/>
          <w:szCs w:val="22"/>
        </w:rPr>
      </w:pPr>
      <w:r w:rsidRPr="00D6089C">
        <w:rPr>
          <w:sz w:val="22"/>
        </w:rPr>
        <w:t>Systemic Anti-Cancer Therapy (SACT) is one of the main cancer treatment options together with surgery and radiation. There are 26 public hospitals providing SACT cancer services. The centralisation of SACT preparation in pharmacy departments followed from the publication of the Department of Health’s “Guidelines for the safe administration of cytotoxic medical preparations in the treatment of patients with cancer”</w:t>
      </w:r>
      <w:r w:rsidR="008F3A16">
        <w:rPr>
          <w:sz w:val="22"/>
        </w:rPr>
        <w:t xml:space="preserve"> </w:t>
      </w:r>
      <w:r w:rsidR="00F64ACA">
        <w:rPr>
          <w:sz w:val="22"/>
        </w:rPr>
        <w:t>(1)</w:t>
      </w:r>
      <w:r w:rsidRPr="00D6089C">
        <w:rPr>
          <w:sz w:val="22"/>
        </w:rPr>
        <w:t xml:space="preserve"> and the National Cancer Strategy of 1996 and 2006</w:t>
      </w:r>
      <w:r w:rsidRPr="00E27FA3">
        <w:rPr>
          <w:sz w:val="22"/>
          <w:szCs w:val="22"/>
        </w:rPr>
        <w:t>.</w:t>
      </w:r>
      <w:r w:rsidR="00E27FA3" w:rsidRPr="00E27FA3">
        <w:rPr>
          <w:sz w:val="22"/>
          <w:szCs w:val="22"/>
        </w:rPr>
        <w:t xml:space="preserve"> </w:t>
      </w:r>
    </w:p>
    <w:p w:rsidR="00D6089C" w:rsidRPr="00D6089C" w:rsidRDefault="00D6089C" w:rsidP="00D01034">
      <w:pPr>
        <w:spacing w:line="276" w:lineRule="auto"/>
        <w:jc w:val="both"/>
        <w:rPr>
          <w:sz w:val="22"/>
        </w:rPr>
      </w:pPr>
    </w:p>
    <w:p w:rsidR="00D6089C" w:rsidRPr="00D6089C" w:rsidRDefault="00F64ACA" w:rsidP="00D01034">
      <w:pPr>
        <w:autoSpaceDE w:val="0"/>
        <w:autoSpaceDN w:val="0"/>
        <w:adjustRightInd w:val="0"/>
        <w:spacing w:line="276" w:lineRule="auto"/>
        <w:jc w:val="both"/>
        <w:rPr>
          <w:sz w:val="22"/>
        </w:rPr>
      </w:pPr>
      <w:r w:rsidRPr="00F64ACA">
        <w:rPr>
          <w:sz w:val="22"/>
        </w:rPr>
        <w:t>These guidelines prompted the move to centralised Pharmacy Department aseptic</w:t>
      </w:r>
      <w:r>
        <w:rPr>
          <w:sz w:val="22"/>
        </w:rPr>
        <w:t xml:space="preserve"> </w:t>
      </w:r>
      <w:r w:rsidRPr="00F64ACA">
        <w:rPr>
          <w:sz w:val="22"/>
        </w:rPr>
        <w:t xml:space="preserve">compounding of SACT, to ensure both patient and operator safety. </w:t>
      </w:r>
      <w:r w:rsidR="00D6089C" w:rsidRPr="00D6089C">
        <w:rPr>
          <w:sz w:val="22"/>
        </w:rPr>
        <w:t>The development of p</w:t>
      </w:r>
      <w:r w:rsidR="00E27FA3">
        <w:rPr>
          <w:sz w:val="22"/>
        </w:rPr>
        <w:t xml:space="preserve">harmacy SACT services </w:t>
      </w:r>
      <w:r w:rsidR="00280AFA">
        <w:rPr>
          <w:sz w:val="22"/>
        </w:rPr>
        <w:t xml:space="preserve">has resulted in various </w:t>
      </w:r>
      <w:r w:rsidR="00D6089C" w:rsidRPr="00D6089C">
        <w:rPr>
          <w:sz w:val="22"/>
        </w:rPr>
        <w:t>models of preparation and provision of SACT including local compounding in a controlled environment such as an Aseptic Compounding Unit (ACU) or stand-alone cabinet, on bench top or outsourced</w:t>
      </w:r>
      <w:r w:rsidR="00280AFA">
        <w:rPr>
          <w:sz w:val="22"/>
        </w:rPr>
        <w:t xml:space="preserve"> across the 26 hospitals in Ireland</w:t>
      </w:r>
      <w:r w:rsidR="00D6089C" w:rsidRPr="00D6089C">
        <w:rPr>
          <w:sz w:val="22"/>
        </w:rPr>
        <w:t xml:space="preserve">. There is a capacity issue within pharmacy department SACT compounding in addition to a growing demand for SACT treatment. </w:t>
      </w:r>
      <w:r w:rsidR="00280AFA" w:rsidRPr="00F64ACA">
        <w:rPr>
          <w:sz w:val="22"/>
        </w:rPr>
        <w:t>The 2019 National Cancer Registry report estimates that the number of patients receiving SACT for the treatment of their cancer will increase by 58-81% (average of 70%) between 2015 and 2045</w:t>
      </w:r>
      <w:r w:rsidR="008F3A16">
        <w:rPr>
          <w:sz w:val="22"/>
        </w:rPr>
        <w:t xml:space="preserve"> </w:t>
      </w:r>
      <w:r>
        <w:rPr>
          <w:sz w:val="22"/>
        </w:rPr>
        <w:t>(2)</w:t>
      </w:r>
      <w:r w:rsidR="00280AFA" w:rsidRPr="00F64ACA">
        <w:rPr>
          <w:sz w:val="22"/>
        </w:rPr>
        <w:t>.</w:t>
      </w:r>
    </w:p>
    <w:p w:rsidR="00D6089C" w:rsidRPr="00D6089C" w:rsidRDefault="00D6089C" w:rsidP="00D01034">
      <w:pPr>
        <w:autoSpaceDE w:val="0"/>
        <w:autoSpaceDN w:val="0"/>
        <w:adjustRightInd w:val="0"/>
        <w:spacing w:line="276" w:lineRule="auto"/>
        <w:jc w:val="both"/>
        <w:rPr>
          <w:sz w:val="22"/>
        </w:rPr>
      </w:pPr>
    </w:p>
    <w:p w:rsidR="00D6089C" w:rsidRDefault="00280AFA" w:rsidP="00D01034">
      <w:pPr>
        <w:autoSpaceDE w:val="0"/>
        <w:autoSpaceDN w:val="0"/>
        <w:adjustRightInd w:val="0"/>
        <w:spacing w:line="276" w:lineRule="auto"/>
        <w:jc w:val="both"/>
        <w:rPr>
          <w:sz w:val="22"/>
        </w:rPr>
      </w:pPr>
      <w:r>
        <w:rPr>
          <w:sz w:val="22"/>
        </w:rPr>
        <w:t>The use of</w:t>
      </w:r>
      <w:r w:rsidR="00D6089C" w:rsidRPr="00D6089C">
        <w:rPr>
          <w:sz w:val="22"/>
        </w:rPr>
        <w:t xml:space="preserve"> engineering controls and isolation techniques such as pharmaceutical</w:t>
      </w:r>
      <w:r>
        <w:rPr>
          <w:sz w:val="22"/>
        </w:rPr>
        <w:t xml:space="preserve"> </w:t>
      </w:r>
      <w:r w:rsidR="00D6089C" w:rsidRPr="00D6089C">
        <w:rPr>
          <w:sz w:val="22"/>
        </w:rPr>
        <w:t>isolators are recognised control measures taken to address th</w:t>
      </w:r>
      <w:r>
        <w:rPr>
          <w:sz w:val="22"/>
        </w:rPr>
        <w:t xml:space="preserve">e risks associated with the use </w:t>
      </w:r>
      <w:r w:rsidR="00D6089C" w:rsidRPr="00D6089C">
        <w:rPr>
          <w:sz w:val="22"/>
        </w:rPr>
        <w:t>of hazardous agents such as cytotoxic drugs and are detailed in the 2016 Guideline on the</w:t>
      </w:r>
      <w:r w:rsidR="00465EEA">
        <w:rPr>
          <w:sz w:val="22"/>
        </w:rPr>
        <w:t xml:space="preserve"> </w:t>
      </w:r>
      <w:r w:rsidR="00D6089C" w:rsidRPr="00D6089C">
        <w:rPr>
          <w:sz w:val="22"/>
        </w:rPr>
        <w:t>Safe Handli</w:t>
      </w:r>
      <w:r w:rsidR="008F3A16">
        <w:rPr>
          <w:sz w:val="22"/>
        </w:rPr>
        <w:t>ng and Use of Cytotoxic Drugs (3</w:t>
      </w:r>
      <w:r w:rsidR="00D6089C" w:rsidRPr="00D6089C">
        <w:rPr>
          <w:sz w:val="22"/>
        </w:rPr>
        <w:t>). They also serve to protect the compounded</w:t>
      </w:r>
      <w:r>
        <w:rPr>
          <w:sz w:val="22"/>
        </w:rPr>
        <w:t xml:space="preserve"> </w:t>
      </w:r>
      <w:r w:rsidR="00D6089C" w:rsidRPr="00D6089C">
        <w:rPr>
          <w:sz w:val="22"/>
        </w:rPr>
        <w:t>product from contamination, and therefore protect the patie</w:t>
      </w:r>
      <w:r>
        <w:rPr>
          <w:sz w:val="22"/>
        </w:rPr>
        <w:t xml:space="preserve">nt. The safe handling guideline </w:t>
      </w:r>
      <w:r w:rsidR="00D6089C" w:rsidRPr="00D6089C">
        <w:rPr>
          <w:sz w:val="22"/>
        </w:rPr>
        <w:t xml:space="preserve">highlights the importance of preventative maintenance </w:t>
      </w:r>
      <w:r>
        <w:rPr>
          <w:sz w:val="22"/>
        </w:rPr>
        <w:t xml:space="preserve">and remedial work to ensure the </w:t>
      </w:r>
      <w:r w:rsidR="00D6089C" w:rsidRPr="00D6089C">
        <w:rPr>
          <w:sz w:val="22"/>
        </w:rPr>
        <w:t>control measures in place remain adequate.</w:t>
      </w:r>
    </w:p>
    <w:p w:rsidR="00D6089C" w:rsidRDefault="00D6089C" w:rsidP="00F64ACA">
      <w:pPr>
        <w:spacing w:line="276" w:lineRule="auto"/>
        <w:jc w:val="both"/>
        <w:rPr>
          <w:sz w:val="22"/>
        </w:rPr>
      </w:pPr>
    </w:p>
    <w:p w:rsidR="00516A4F" w:rsidRDefault="00516A4F" w:rsidP="00F64ACA">
      <w:pPr>
        <w:spacing w:line="276" w:lineRule="auto"/>
        <w:jc w:val="both"/>
        <w:rPr>
          <w:sz w:val="22"/>
        </w:rPr>
      </w:pPr>
    </w:p>
    <w:p w:rsidR="004C6A41" w:rsidRDefault="001C3FE0" w:rsidP="004C6A41">
      <w:pPr>
        <w:pStyle w:val="Title"/>
        <w:spacing w:line="276" w:lineRule="auto"/>
        <w:rPr>
          <w:rFonts w:cs="Times New Roman"/>
          <w:b w:val="0"/>
          <w:bCs w:val="0"/>
          <w:color w:val="244061" w:themeColor="accent1" w:themeShade="80"/>
          <w:kern w:val="0"/>
          <w:sz w:val="24"/>
          <w:szCs w:val="24"/>
        </w:rPr>
      </w:pPr>
      <w:r w:rsidRPr="004C6A41">
        <w:rPr>
          <w:rFonts w:cs="Times New Roman"/>
          <w:b w:val="0"/>
          <w:bCs w:val="0"/>
          <w:color w:val="244061" w:themeColor="accent1" w:themeShade="80"/>
          <w:kern w:val="0"/>
          <w:sz w:val="24"/>
          <w:szCs w:val="24"/>
        </w:rPr>
        <w:t>Feedback on this template should be sent to</w:t>
      </w:r>
      <w:r w:rsidR="004C6A41">
        <w:rPr>
          <w:rFonts w:cs="Times New Roman"/>
          <w:b w:val="0"/>
          <w:bCs w:val="0"/>
          <w:color w:val="244061" w:themeColor="accent1" w:themeShade="80"/>
          <w:kern w:val="0"/>
          <w:sz w:val="24"/>
          <w:szCs w:val="24"/>
        </w:rPr>
        <w:t>:</w:t>
      </w:r>
      <w:r w:rsidRPr="004C6A41">
        <w:rPr>
          <w:rFonts w:cs="Times New Roman"/>
          <w:b w:val="0"/>
          <w:bCs w:val="0"/>
          <w:color w:val="244061" w:themeColor="accent1" w:themeShade="80"/>
          <w:kern w:val="0"/>
          <w:sz w:val="24"/>
          <w:szCs w:val="24"/>
        </w:rPr>
        <w:t xml:space="preserve"> </w:t>
      </w:r>
      <w:hyperlink r:id="rId9" w:history="1">
        <w:r w:rsidR="004C6A41" w:rsidRPr="004D3C21">
          <w:rPr>
            <w:rStyle w:val="Hyperlink"/>
            <w:rFonts w:cs="Times New Roman"/>
            <w:b w:val="0"/>
            <w:bCs w:val="0"/>
            <w:kern w:val="0"/>
            <w:sz w:val="24"/>
            <w:szCs w:val="24"/>
            <w14:textFill>
              <w14:solidFill>
                <w14:srgbClr w14:val="0000FF">
                  <w14:lumMod w14:val="50000"/>
                </w14:srgbClr>
              </w14:solidFill>
            </w14:textFill>
          </w:rPr>
          <w:t>oncologydrugs@cancercontrol.ie</w:t>
        </w:r>
      </w:hyperlink>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2083"/>
        <w:gridCol w:w="2919"/>
        <w:gridCol w:w="2141"/>
      </w:tblGrid>
      <w:tr w:rsidR="00516A4F" w:rsidRPr="001D464E" w:rsidTr="004C6A41">
        <w:trPr>
          <w:jc w:val="right"/>
        </w:trPr>
        <w:tc>
          <w:tcPr>
            <w:tcW w:w="1526" w:type="dxa"/>
            <w:shd w:val="clear" w:color="auto" w:fill="auto"/>
          </w:tcPr>
          <w:p w:rsidR="00516A4F" w:rsidRPr="001D464E" w:rsidRDefault="001C3FE0" w:rsidP="004C6A41">
            <w:pPr>
              <w:jc w:val="right"/>
            </w:pPr>
            <w:r w:rsidRPr="004C6A41">
              <w:rPr>
                <w:color w:val="244061" w:themeColor="accent1" w:themeShade="80"/>
              </w:rPr>
              <w:t xml:space="preserve"> </w:t>
            </w:r>
            <w:r w:rsidR="00516A4F" w:rsidRPr="001D464E">
              <w:t>Version</w:t>
            </w:r>
          </w:p>
        </w:tc>
        <w:tc>
          <w:tcPr>
            <w:tcW w:w="2126" w:type="dxa"/>
            <w:shd w:val="clear" w:color="auto" w:fill="auto"/>
          </w:tcPr>
          <w:p w:rsidR="00516A4F" w:rsidRPr="001D464E" w:rsidRDefault="00516A4F" w:rsidP="004C6A41">
            <w:pPr>
              <w:jc w:val="right"/>
            </w:pPr>
            <w:r w:rsidRPr="001D464E">
              <w:t>Date</w:t>
            </w:r>
          </w:p>
        </w:tc>
        <w:tc>
          <w:tcPr>
            <w:tcW w:w="3010" w:type="dxa"/>
            <w:shd w:val="clear" w:color="auto" w:fill="auto"/>
          </w:tcPr>
          <w:p w:rsidR="00516A4F" w:rsidRPr="001D464E" w:rsidRDefault="00516A4F" w:rsidP="004C6A41">
            <w:pPr>
              <w:jc w:val="right"/>
            </w:pPr>
            <w:r w:rsidRPr="001D464E">
              <w:t>Amendment</w:t>
            </w:r>
          </w:p>
        </w:tc>
        <w:tc>
          <w:tcPr>
            <w:tcW w:w="2200" w:type="dxa"/>
            <w:shd w:val="clear" w:color="auto" w:fill="auto"/>
          </w:tcPr>
          <w:p w:rsidR="00516A4F" w:rsidRPr="001D464E" w:rsidRDefault="00516A4F" w:rsidP="004C6A41">
            <w:pPr>
              <w:jc w:val="right"/>
            </w:pPr>
            <w:r w:rsidRPr="001D464E">
              <w:t>Approved By</w:t>
            </w:r>
          </w:p>
        </w:tc>
      </w:tr>
      <w:tr w:rsidR="00516A4F" w:rsidRPr="001D464E" w:rsidTr="004C6A41">
        <w:trPr>
          <w:jc w:val="right"/>
        </w:trPr>
        <w:tc>
          <w:tcPr>
            <w:tcW w:w="1526" w:type="dxa"/>
            <w:shd w:val="clear" w:color="auto" w:fill="auto"/>
          </w:tcPr>
          <w:p w:rsidR="00516A4F" w:rsidRPr="001D464E" w:rsidRDefault="00516A4F" w:rsidP="004C6A41">
            <w:pPr>
              <w:jc w:val="right"/>
            </w:pPr>
            <w:r w:rsidRPr="001D464E">
              <w:t>1</w:t>
            </w:r>
          </w:p>
        </w:tc>
        <w:tc>
          <w:tcPr>
            <w:tcW w:w="2126" w:type="dxa"/>
            <w:shd w:val="clear" w:color="auto" w:fill="auto"/>
          </w:tcPr>
          <w:p w:rsidR="00516A4F" w:rsidRPr="001D464E" w:rsidRDefault="003E0ED5" w:rsidP="004C6A41">
            <w:pPr>
              <w:jc w:val="right"/>
            </w:pPr>
            <w:r>
              <w:t>20</w:t>
            </w:r>
            <w:r w:rsidR="00516A4F">
              <w:t>/</w:t>
            </w:r>
            <w:r>
              <w:t>10</w:t>
            </w:r>
            <w:r w:rsidR="00516A4F">
              <w:t>/2020</w:t>
            </w:r>
          </w:p>
        </w:tc>
        <w:tc>
          <w:tcPr>
            <w:tcW w:w="3010" w:type="dxa"/>
            <w:shd w:val="clear" w:color="auto" w:fill="auto"/>
          </w:tcPr>
          <w:p w:rsidR="00516A4F" w:rsidRPr="001D464E" w:rsidRDefault="00516A4F" w:rsidP="004C6A41">
            <w:pPr>
              <w:jc w:val="right"/>
            </w:pPr>
          </w:p>
        </w:tc>
        <w:tc>
          <w:tcPr>
            <w:tcW w:w="2200" w:type="dxa"/>
            <w:shd w:val="clear" w:color="auto" w:fill="auto"/>
          </w:tcPr>
          <w:p w:rsidR="00516A4F" w:rsidRPr="001D464E" w:rsidRDefault="003E0ED5" w:rsidP="004C6A41">
            <w:pPr>
              <w:jc w:val="right"/>
            </w:pPr>
            <w:r>
              <w:t>NCCP</w:t>
            </w:r>
          </w:p>
        </w:tc>
      </w:tr>
    </w:tbl>
    <w:p w:rsidR="00516A4F" w:rsidRDefault="00516A4F" w:rsidP="00F64ACA">
      <w:pPr>
        <w:spacing w:line="276" w:lineRule="auto"/>
        <w:jc w:val="both"/>
        <w:rPr>
          <w:sz w:val="22"/>
        </w:rPr>
      </w:pPr>
    </w:p>
    <w:p w:rsidR="004C6A41" w:rsidRDefault="004C6A41" w:rsidP="00F64ACA">
      <w:pPr>
        <w:spacing w:line="276" w:lineRule="auto"/>
        <w:jc w:val="both"/>
        <w:rPr>
          <w:sz w:val="22"/>
        </w:rPr>
      </w:pPr>
    </w:p>
    <w:p w:rsidR="00492A86" w:rsidRDefault="00492A86" w:rsidP="00F64ACA">
      <w:pPr>
        <w:spacing w:line="276" w:lineRule="auto"/>
        <w:jc w:val="both"/>
        <w:rPr>
          <w:sz w:val="22"/>
        </w:rPr>
      </w:pPr>
    </w:p>
    <w:p w:rsidR="00D6089C" w:rsidRPr="00D6089C" w:rsidRDefault="00D6089C" w:rsidP="00F64ACA">
      <w:pPr>
        <w:pStyle w:val="Title"/>
        <w:spacing w:line="276" w:lineRule="auto"/>
        <w:jc w:val="left"/>
        <w:rPr>
          <w:sz w:val="28"/>
          <w:szCs w:val="28"/>
        </w:rPr>
      </w:pPr>
      <w:r w:rsidRPr="00D6089C">
        <w:rPr>
          <w:sz w:val="28"/>
          <w:szCs w:val="28"/>
        </w:rPr>
        <w:t>Business Needs and Desired Outcomes</w:t>
      </w:r>
    </w:p>
    <w:p w:rsidR="00D6089C" w:rsidRDefault="00D6089C" w:rsidP="00F64ACA">
      <w:pPr>
        <w:pStyle w:val="Caption"/>
        <w:spacing w:line="276" w:lineRule="auto"/>
      </w:pPr>
    </w:p>
    <w:p w:rsidR="00D6089C" w:rsidRDefault="00D6089C" w:rsidP="007675D5">
      <w:pPr>
        <w:pStyle w:val="ListParagraph"/>
        <w:numPr>
          <w:ilvl w:val="0"/>
          <w:numId w:val="35"/>
        </w:numPr>
        <w:spacing w:line="276" w:lineRule="auto"/>
      </w:pPr>
      <w:r>
        <w:t>Summary of proposal</w:t>
      </w:r>
      <w:r w:rsidR="007675D5">
        <w:t xml:space="preserve"> considering local requirements</w:t>
      </w:r>
      <w:r>
        <w:t>.</w:t>
      </w:r>
    </w:p>
    <w:p w:rsidR="00D6089C" w:rsidRPr="00D6089C" w:rsidRDefault="00D6089C" w:rsidP="00F64ACA">
      <w:pPr>
        <w:spacing w:line="276" w:lineRule="auto"/>
        <w:jc w:val="both"/>
      </w:pPr>
    </w:p>
    <w:p w:rsidR="007675D5" w:rsidRDefault="00E81AF5" w:rsidP="00F64ACA">
      <w:pPr>
        <w:pStyle w:val="Heading2"/>
        <w:spacing w:line="276" w:lineRule="auto"/>
      </w:pPr>
      <w:r>
        <w:t>Overview</w:t>
      </w:r>
    </w:p>
    <w:p w:rsidR="00592555" w:rsidRDefault="007675D5" w:rsidP="007675D5">
      <w:r>
        <w:t>A general overview which could include the following, as appropriate to the service in place or being proposed</w:t>
      </w:r>
      <w:r w:rsidR="00E81AF5">
        <w:t xml:space="preserve"> </w:t>
      </w:r>
      <w:r w:rsidR="00114F9F">
        <w:tab/>
      </w:r>
    </w:p>
    <w:p w:rsidR="00E81AF5" w:rsidRPr="007675D5" w:rsidRDefault="00E81AF5" w:rsidP="007675D5">
      <w:pPr>
        <w:pStyle w:val="ListParagraph"/>
        <w:numPr>
          <w:ilvl w:val="0"/>
          <w:numId w:val="35"/>
        </w:numPr>
        <w:spacing w:line="276" w:lineRule="auto"/>
        <w:jc w:val="both"/>
        <w:rPr>
          <w:sz w:val="22"/>
        </w:rPr>
      </w:pPr>
      <w:r w:rsidRPr="007675D5">
        <w:rPr>
          <w:sz w:val="22"/>
        </w:rPr>
        <w:t xml:space="preserve">Information on the </w:t>
      </w:r>
      <w:r w:rsidR="007675D5">
        <w:rPr>
          <w:sz w:val="22"/>
        </w:rPr>
        <w:t xml:space="preserve">existing </w:t>
      </w:r>
      <w:r w:rsidRPr="007675D5">
        <w:rPr>
          <w:sz w:val="22"/>
        </w:rPr>
        <w:t>ACU Service in the Pharmacy Department.</w:t>
      </w:r>
    </w:p>
    <w:p w:rsidR="00E81AF5" w:rsidRPr="007675D5" w:rsidRDefault="00E81AF5" w:rsidP="007675D5">
      <w:pPr>
        <w:pStyle w:val="ListParagraph"/>
        <w:numPr>
          <w:ilvl w:val="0"/>
          <w:numId w:val="35"/>
        </w:numPr>
        <w:spacing w:line="276" w:lineRule="auto"/>
        <w:jc w:val="both"/>
        <w:rPr>
          <w:sz w:val="22"/>
        </w:rPr>
      </w:pPr>
      <w:r w:rsidRPr="007675D5">
        <w:rPr>
          <w:sz w:val="22"/>
        </w:rPr>
        <w:t>What the</w:t>
      </w:r>
      <w:r w:rsidR="008F6D6D" w:rsidRPr="007675D5">
        <w:rPr>
          <w:sz w:val="22"/>
        </w:rPr>
        <w:t xml:space="preserve"> ACU</w:t>
      </w:r>
      <w:r w:rsidRPr="007675D5">
        <w:rPr>
          <w:sz w:val="22"/>
        </w:rPr>
        <w:t xml:space="preserve"> service entails</w:t>
      </w:r>
      <w:r w:rsidR="008A6FD9" w:rsidRPr="007675D5">
        <w:rPr>
          <w:sz w:val="22"/>
        </w:rPr>
        <w:t>?</w:t>
      </w:r>
      <w:r w:rsidRPr="007675D5">
        <w:rPr>
          <w:sz w:val="22"/>
        </w:rPr>
        <w:t xml:space="preserve"> </w:t>
      </w:r>
    </w:p>
    <w:p w:rsidR="00F515A7" w:rsidRPr="007675D5" w:rsidRDefault="00F515A7" w:rsidP="007675D5">
      <w:pPr>
        <w:pStyle w:val="ListParagraph"/>
        <w:numPr>
          <w:ilvl w:val="0"/>
          <w:numId w:val="35"/>
        </w:numPr>
        <w:spacing w:line="276" w:lineRule="auto"/>
        <w:jc w:val="both"/>
        <w:rPr>
          <w:sz w:val="22"/>
        </w:rPr>
      </w:pPr>
      <w:r w:rsidRPr="007675D5">
        <w:rPr>
          <w:sz w:val="22"/>
        </w:rPr>
        <w:t>Current service arrangements.</w:t>
      </w:r>
    </w:p>
    <w:p w:rsidR="00465EEA" w:rsidRPr="007675D5" w:rsidRDefault="00E81AF5" w:rsidP="007675D5">
      <w:pPr>
        <w:pStyle w:val="ListParagraph"/>
        <w:numPr>
          <w:ilvl w:val="0"/>
          <w:numId w:val="35"/>
        </w:numPr>
        <w:spacing w:line="276" w:lineRule="auto"/>
        <w:jc w:val="both"/>
        <w:rPr>
          <w:sz w:val="22"/>
        </w:rPr>
      </w:pPr>
      <w:r w:rsidRPr="007675D5">
        <w:rPr>
          <w:sz w:val="22"/>
        </w:rPr>
        <w:t>Current facilities and equipment and typical life span of equipment</w:t>
      </w:r>
    </w:p>
    <w:p w:rsidR="00592555" w:rsidRPr="00465EEA" w:rsidRDefault="008A6FD9" w:rsidP="00465EEA">
      <w:pPr>
        <w:pStyle w:val="ListParagraph"/>
        <w:numPr>
          <w:ilvl w:val="0"/>
          <w:numId w:val="35"/>
        </w:numPr>
        <w:spacing w:line="276" w:lineRule="auto"/>
        <w:jc w:val="both"/>
        <w:rPr>
          <w:rFonts w:ascii="Calibri" w:hAnsi="Calibri" w:cs="Arial"/>
        </w:rPr>
      </w:pPr>
      <w:r w:rsidRPr="00465EEA">
        <w:rPr>
          <w:sz w:val="22"/>
        </w:rPr>
        <w:t>Costs</w:t>
      </w:r>
      <w:r w:rsidR="00E81AF5" w:rsidRPr="00465EEA">
        <w:rPr>
          <w:sz w:val="22"/>
        </w:rPr>
        <w:t xml:space="preserve"> </w:t>
      </w:r>
    </w:p>
    <w:p w:rsidR="00592555" w:rsidRDefault="00592555" w:rsidP="00F64ACA">
      <w:pPr>
        <w:spacing w:line="276" w:lineRule="auto"/>
        <w:jc w:val="both"/>
        <w:rPr>
          <w:rFonts w:ascii="Calibri" w:hAnsi="Calibri" w:cs="Arial"/>
        </w:rPr>
      </w:pPr>
    </w:p>
    <w:p w:rsidR="00592555" w:rsidRDefault="008F6D6D" w:rsidP="00F64ACA">
      <w:pPr>
        <w:pStyle w:val="Heading2"/>
        <w:spacing w:line="276" w:lineRule="auto"/>
      </w:pPr>
      <w:r>
        <w:t>Business need:</w:t>
      </w:r>
    </w:p>
    <w:p w:rsidR="007675D5" w:rsidRPr="007675D5" w:rsidRDefault="007675D5" w:rsidP="007675D5">
      <w:pPr>
        <w:spacing w:line="276" w:lineRule="auto"/>
        <w:jc w:val="both"/>
        <w:rPr>
          <w:sz w:val="22"/>
        </w:rPr>
      </w:pPr>
      <w:r>
        <w:rPr>
          <w:sz w:val="22"/>
        </w:rPr>
        <w:t>What is the requirement – to incl</w:t>
      </w:r>
      <w:bookmarkStart w:id="6" w:name="_GoBack"/>
      <w:bookmarkEnd w:id="6"/>
      <w:r>
        <w:rPr>
          <w:sz w:val="22"/>
        </w:rPr>
        <w:t>ude</w:t>
      </w:r>
      <w:r w:rsidR="004C6A41">
        <w:rPr>
          <w:sz w:val="22"/>
        </w:rPr>
        <w:t>:</w:t>
      </w:r>
    </w:p>
    <w:p w:rsidR="00F515A7" w:rsidRPr="007675D5" w:rsidRDefault="007675D5" w:rsidP="007675D5">
      <w:pPr>
        <w:pStyle w:val="ListParagraph"/>
        <w:numPr>
          <w:ilvl w:val="0"/>
          <w:numId w:val="36"/>
        </w:numPr>
        <w:spacing w:line="276" w:lineRule="auto"/>
        <w:jc w:val="both"/>
        <w:rPr>
          <w:sz w:val="22"/>
        </w:rPr>
      </w:pPr>
      <w:r>
        <w:rPr>
          <w:sz w:val="22"/>
        </w:rPr>
        <w:t>High level d</w:t>
      </w:r>
      <w:r w:rsidR="008F6D6D" w:rsidRPr="007675D5">
        <w:rPr>
          <w:sz w:val="22"/>
        </w:rPr>
        <w:t xml:space="preserve">escription </w:t>
      </w:r>
      <w:r>
        <w:rPr>
          <w:sz w:val="22"/>
        </w:rPr>
        <w:t>e.g. expansion of existing space to double current size</w:t>
      </w:r>
      <w:r w:rsidR="00E27FA3" w:rsidRPr="007675D5">
        <w:rPr>
          <w:sz w:val="22"/>
        </w:rPr>
        <w:t>.</w:t>
      </w:r>
    </w:p>
    <w:p w:rsidR="008F6D6D" w:rsidRPr="007675D5" w:rsidRDefault="008F6D6D" w:rsidP="007675D5">
      <w:pPr>
        <w:pStyle w:val="ListParagraph"/>
        <w:numPr>
          <w:ilvl w:val="0"/>
          <w:numId w:val="36"/>
        </w:numPr>
        <w:spacing w:line="276" w:lineRule="auto"/>
        <w:jc w:val="both"/>
        <w:rPr>
          <w:sz w:val="22"/>
        </w:rPr>
      </w:pPr>
      <w:r w:rsidRPr="007675D5">
        <w:rPr>
          <w:sz w:val="22"/>
        </w:rPr>
        <w:t xml:space="preserve">Type of facility, </w:t>
      </w:r>
      <w:r w:rsidR="007675D5">
        <w:rPr>
          <w:sz w:val="22"/>
        </w:rPr>
        <w:t xml:space="preserve">e.g. </w:t>
      </w:r>
      <w:r w:rsidRPr="007675D5">
        <w:rPr>
          <w:sz w:val="22"/>
        </w:rPr>
        <w:t>how many rooms</w:t>
      </w:r>
      <w:r w:rsidR="007675D5">
        <w:rPr>
          <w:sz w:val="22"/>
        </w:rPr>
        <w:t>,</w:t>
      </w:r>
      <w:r w:rsidRPr="007675D5">
        <w:rPr>
          <w:sz w:val="22"/>
        </w:rPr>
        <w:t xml:space="preserve"> purpose</w:t>
      </w:r>
      <w:r w:rsidR="007675D5">
        <w:rPr>
          <w:sz w:val="22"/>
        </w:rPr>
        <w:t xml:space="preserve"> of additional or new rooms</w:t>
      </w:r>
      <w:r w:rsidRPr="007675D5">
        <w:rPr>
          <w:sz w:val="22"/>
        </w:rPr>
        <w:t>?</w:t>
      </w:r>
    </w:p>
    <w:p w:rsidR="008F6D6D" w:rsidRPr="007675D5" w:rsidRDefault="007675D5" w:rsidP="007675D5">
      <w:pPr>
        <w:pStyle w:val="ListParagraph"/>
        <w:numPr>
          <w:ilvl w:val="0"/>
          <w:numId w:val="36"/>
        </w:numPr>
        <w:spacing w:line="276" w:lineRule="auto"/>
        <w:jc w:val="both"/>
        <w:rPr>
          <w:sz w:val="22"/>
        </w:rPr>
      </w:pPr>
      <w:r>
        <w:rPr>
          <w:sz w:val="22"/>
        </w:rPr>
        <w:t>Additional detail as appropriate to local service</w:t>
      </w:r>
    </w:p>
    <w:p w:rsidR="00592555" w:rsidRDefault="00592555" w:rsidP="00F64ACA">
      <w:pPr>
        <w:spacing w:line="276" w:lineRule="auto"/>
        <w:jc w:val="both"/>
        <w:rPr>
          <w:rFonts w:ascii="Calibri" w:hAnsi="Calibri" w:cs="Arial"/>
        </w:rPr>
      </w:pPr>
    </w:p>
    <w:p w:rsidR="008F6D6D" w:rsidRDefault="008F6D6D" w:rsidP="00F64ACA">
      <w:pPr>
        <w:pStyle w:val="Heading2"/>
        <w:spacing w:line="276" w:lineRule="auto"/>
      </w:pPr>
      <w:r>
        <w:t>Purpose of the business case</w:t>
      </w:r>
    </w:p>
    <w:p w:rsidR="00E27FA3" w:rsidRPr="007675D5" w:rsidRDefault="008F6D6D" w:rsidP="007675D5">
      <w:pPr>
        <w:pStyle w:val="ListParagraph"/>
        <w:numPr>
          <w:ilvl w:val="0"/>
          <w:numId w:val="37"/>
        </w:numPr>
        <w:spacing w:line="276" w:lineRule="auto"/>
        <w:jc w:val="both"/>
        <w:rPr>
          <w:sz w:val="22"/>
        </w:rPr>
      </w:pPr>
      <w:r w:rsidRPr="007675D5">
        <w:rPr>
          <w:sz w:val="22"/>
        </w:rPr>
        <w:t xml:space="preserve">What are the drivers of this request? </w:t>
      </w:r>
    </w:p>
    <w:p w:rsidR="007675D5" w:rsidRDefault="008F6D6D" w:rsidP="00F64ACA">
      <w:pPr>
        <w:pStyle w:val="ListParagraph"/>
        <w:numPr>
          <w:ilvl w:val="0"/>
          <w:numId w:val="37"/>
        </w:numPr>
        <w:spacing w:line="276" w:lineRule="auto"/>
        <w:jc w:val="both"/>
        <w:rPr>
          <w:sz w:val="22"/>
        </w:rPr>
      </w:pPr>
      <w:r w:rsidRPr="007675D5">
        <w:rPr>
          <w:sz w:val="22"/>
        </w:rPr>
        <w:t>Why is this business case necessary?</w:t>
      </w:r>
    </w:p>
    <w:p w:rsidR="007675D5" w:rsidRDefault="007675D5" w:rsidP="00F64ACA">
      <w:pPr>
        <w:pStyle w:val="ListParagraph"/>
        <w:numPr>
          <w:ilvl w:val="0"/>
          <w:numId w:val="37"/>
        </w:numPr>
        <w:spacing w:line="276" w:lineRule="auto"/>
        <w:jc w:val="both"/>
        <w:rPr>
          <w:sz w:val="22"/>
        </w:rPr>
      </w:pPr>
      <w:r>
        <w:rPr>
          <w:sz w:val="22"/>
        </w:rPr>
        <w:t>For example;</w:t>
      </w:r>
    </w:p>
    <w:p w:rsidR="007E2EAA" w:rsidRDefault="007E2EAA" w:rsidP="00F64ACA">
      <w:pPr>
        <w:pStyle w:val="ListParagraph"/>
        <w:numPr>
          <w:ilvl w:val="1"/>
          <w:numId w:val="37"/>
        </w:numPr>
        <w:spacing w:line="276" w:lineRule="auto"/>
        <w:jc w:val="both"/>
        <w:rPr>
          <w:sz w:val="22"/>
        </w:rPr>
      </w:pPr>
      <w:r>
        <w:rPr>
          <w:sz w:val="22"/>
        </w:rPr>
        <w:t>Parenteral Systemic Anti-Cancer Therapy service provision</w:t>
      </w:r>
    </w:p>
    <w:p w:rsidR="007E2EAA" w:rsidRDefault="007E2EAA" w:rsidP="00F64ACA">
      <w:pPr>
        <w:pStyle w:val="ListParagraph"/>
        <w:numPr>
          <w:ilvl w:val="1"/>
          <w:numId w:val="37"/>
        </w:numPr>
        <w:spacing w:line="276" w:lineRule="auto"/>
        <w:jc w:val="both"/>
        <w:rPr>
          <w:sz w:val="22"/>
        </w:rPr>
      </w:pPr>
      <w:r>
        <w:rPr>
          <w:sz w:val="22"/>
        </w:rPr>
        <w:t>Decrease wastage</w:t>
      </w:r>
    </w:p>
    <w:p w:rsidR="007E2EAA" w:rsidRDefault="007E2EAA" w:rsidP="00F64ACA">
      <w:pPr>
        <w:pStyle w:val="ListParagraph"/>
        <w:numPr>
          <w:ilvl w:val="1"/>
          <w:numId w:val="37"/>
        </w:numPr>
        <w:spacing w:line="276" w:lineRule="auto"/>
        <w:jc w:val="both"/>
        <w:rPr>
          <w:sz w:val="22"/>
        </w:rPr>
      </w:pPr>
      <w:r>
        <w:rPr>
          <w:sz w:val="22"/>
        </w:rPr>
        <w:t xml:space="preserve">Clinical trial participation </w:t>
      </w:r>
    </w:p>
    <w:p w:rsidR="007675D5" w:rsidRDefault="008F6D6D" w:rsidP="00F64ACA">
      <w:pPr>
        <w:pStyle w:val="ListParagraph"/>
        <w:numPr>
          <w:ilvl w:val="1"/>
          <w:numId w:val="37"/>
        </w:numPr>
        <w:spacing w:line="276" w:lineRule="auto"/>
        <w:jc w:val="both"/>
        <w:rPr>
          <w:sz w:val="22"/>
        </w:rPr>
      </w:pPr>
      <w:r w:rsidRPr="007675D5">
        <w:rPr>
          <w:sz w:val="22"/>
        </w:rPr>
        <w:t>Capacity</w:t>
      </w:r>
    </w:p>
    <w:p w:rsidR="007675D5" w:rsidRDefault="008F6D6D" w:rsidP="00F64ACA">
      <w:pPr>
        <w:pStyle w:val="ListParagraph"/>
        <w:numPr>
          <w:ilvl w:val="1"/>
          <w:numId w:val="37"/>
        </w:numPr>
        <w:spacing w:line="276" w:lineRule="auto"/>
        <w:jc w:val="both"/>
        <w:rPr>
          <w:sz w:val="22"/>
        </w:rPr>
      </w:pPr>
      <w:r w:rsidRPr="007675D5">
        <w:rPr>
          <w:sz w:val="22"/>
        </w:rPr>
        <w:t>Efficiency</w:t>
      </w:r>
    </w:p>
    <w:p w:rsidR="007675D5" w:rsidRDefault="008F6D6D" w:rsidP="00F64ACA">
      <w:pPr>
        <w:pStyle w:val="ListParagraph"/>
        <w:numPr>
          <w:ilvl w:val="1"/>
          <w:numId w:val="37"/>
        </w:numPr>
        <w:spacing w:line="276" w:lineRule="auto"/>
        <w:jc w:val="both"/>
        <w:rPr>
          <w:sz w:val="22"/>
        </w:rPr>
      </w:pPr>
      <w:r w:rsidRPr="007675D5">
        <w:rPr>
          <w:sz w:val="22"/>
        </w:rPr>
        <w:t>Expansion of service</w:t>
      </w:r>
    </w:p>
    <w:p w:rsidR="007675D5" w:rsidRDefault="008F6D6D" w:rsidP="00F64ACA">
      <w:pPr>
        <w:pStyle w:val="ListParagraph"/>
        <w:numPr>
          <w:ilvl w:val="1"/>
          <w:numId w:val="37"/>
        </w:numPr>
        <w:spacing w:line="276" w:lineRule="auto"/>
        <w:jc w:val="both"/>
        <w:rPr>
          <w:sz w:val="22"/>
        </w:rPr>
      </w:pPr>
      <w:r w:rsidRPr="007675D5">
        <w:rPr>
          <w:sz w:val="22"/>
        </w:rPr>
        <w:t>Health and Safety</w:t>
      </w:r>
      <w:r w:rsidR="007675D5">
        <w:rPr>
          <w:sz w:val="22"/>
        </w:rPr>
        <w:t xml:space="preserve"> requirements – staff protection, benefits for patients</w:t>
      </w:r>
    </w:p>
    <w:p w:rsidR="008F6D6D" w:rsidRPr="007675D5" w:rsidRDefault="008F6D6D" w:rsidP="00F64ACA">
      <w:pPr>
        <w:pStyle w:val="ListParagraph"/>
        <w:numPr>
          <w:ilvl w:val="1"/>
          <w:numId w:val="37"/>
        </w:numPr>
        <w:spacing w:line="276" w:lineRule="auto"/>
        <w:jc w:val="both"/>
        <w:rPr>
          <w:sz w:val="22"/>
        </w:rPr>
      </w:pPr>
      <w:r w:rsidRPr="007675D5">
        <w:rPr>
          <w:sz w:val="22"/>
        </w:rPr>
        <w:t>Legislation changes or recommendations</w:t>
      </w:r>
    </w:p>
    <w:p w:rsidR="008F6D6D" w:rsidRPr="00D6089C" w:rsidRDefault="008F6D6D" w:rsidP="00F64ACA">
      <w:pPr>
        <w:spacing w:line="276" w:lineRule="auto"/>
        <w:jc w:val="both"/>
        <w:rPr>
          <w:sz w:val="22"/>
        </w:rPr>
      </w:pPr>
    </w:p>
    <w:p w:rsidR="00E27FA3" w:rsidRPr="007675D5" w:rsidRDefault="007675D5" w:rsidP="007675D5">
      <w:pPr>
        <w:pStyle w:val="ListParagraph"/>
        <w:numPr>
          <w:ilvl w:val="0"/>
          <w:numId w:val="38"/>
        </w:numPr>
        <w:spacing w:line="276" w:lineRule="auto"/>
        <w:jc w:val="both"/>
        <w:rPr>
          <w:sz w:val="22"/>
        </w:rPr>
      </w:pPr>
      <w:r>
        <w:rPr>
          <w:sz w:val="22"/>
        </w:rPr>
        <w:t>Projected t</w:t>
      </w:r>
      <w:r w:rsidR="00E27FA3" w:rsidRPr="007675D5">
        <w:rPr>
          <w:sz w:val="22"/>
        </w:rPr>
        <w:t>imeline for this project</w:t>
      </w:r>
    </w:p>
    <w:p w:rsidR="00465EEA" w:rsidRDefault="00465EEA" w:rsidP="00F64ACA">
      <w:pPr>
        <w:spacing w:line="276" w:lineRule="auto"/>
        <w:jc w:val="both"/>
        <w:rPr>
          <w:sz w:val="22"/>
        </w:rPr>
      </w:pPr>
    </w:p>
    <w:p w:rsidR="008F6D6D" w:rsidRPr="00D6089C" w:rsidRDefault="008F6D6D" w:rsidP="00F64ACA">
      <w:pPr>
        <w:spacing w:line="276" w:lineRule="auto"/>
        <w:jc w:val="both"/>
        <w:rPr>
          <w:sz w:val="22"/>
        </w:rPr>
      </w:pPr>
      <w:r w:rsidRPr="00D6089C">
        <w:rPr>
          <w:sz w:val="22"/>
        </w:rPr>
        <w:t>Provide additional information for each driver that is identified</w:t>
      </w:r>
    </w:p>
    <w:p w:rsidR="00592555" w:rsidRDefault="00592555" w:rsidP="00F64ACA">
      <w:pPr>
        <w:spacing w:line="276" w:lineRule="auto"/>
        <w:jc w:val="both"/>
        <w:rPr>
          <w:rFonts w:ascii="Calibri" w:hAnsi="Calibri" w:cs="Arial"/>
        </w:rPr>
      </w:pPr>
    </w:p>
    <w:p w:rsidR="00F515A7" w:rsidRDefault="00F515A7" w:rsidP="00F64ACA">
      <w:pPr>
        <w:pStyle w:val="Heading2"/>
        <w:spacing w:line="276" w:lineRule="auto"/>
      </w:pPr>
      <w:r>
        <w:lastRenderedPageBreak/>
        <w:t>Risks</w:t>
      </w:r>
    </w:p>
    <w:p w:rsidR="00F515A7" w:rsidRDefault="007675D5" w:rsidP="00F64ACA">
      <w:pPr>
        <w:spacing w:line="276" w:lineRule="auto"/>
        <w:rPr>
          <w:sz w:val="22"/>
        </w:rPr>
      </w:pPr>
      <w:r>
        <w:rPr>
          <w:sz w:val="22"/>
        </w:rPr>
        <w:t>This section should detail a</w:t>
      </w:r>
      <w:r w:rsidR="00F515A7" w:rsidRPr="00D6089C">
        <w:rPr>
          <w:sz w:val="22"/>
        </w:rPr>
        <w:t xml:space="preserve">ny </w:t>
      </w:r>
      <w:r>
        <w:rPr>
          <w:sz w:val="22"/>
        </w:rPr>
        <w:t xml:space="preserve">potential </w:t>
      </w:r>
      <w:r w:rsidR="00F515A7" w:rsidRPr="00D6089C">
        <w:rPr>
          <w:sz w:val="22"/>
        </w:rPr>
        <w:t>risks identified</w:t>
      </w:r>
      <w:r>
        <w:rPr>
          <w:sz w:val="22"/>
        </w:rPr>
        <w:t xml:space="preserve"> that are associated with e.g. continuing as is/ with the proposal as appropriate. </w:t>
      </w:r>
      <w:r w:rsidR="00F515A7" w:rsidRPr="00D6089C">
        <w:rPr>
          <w:sz w:val="22"/>
        </w:rPr>
        <w:t xml:space="preserve"> </w:t>
      </w:r>
    </w:p>
    <w:p w:rsidR="00D6089C" w:rsidRPr="00D6089C" w:rsidRDefault="00D6089C" w:rsidP="00F64ACA">
      <w:pPr>
        <w:spacing w:line="276" w:lineRule="auto"/>
        <w:rPr>
          <w:sz w:val="22"/>
        </w:rPr>
      </w:pPr>
    </w:p>
    <w:p w:rsidR="008A6FD9" w:rsidRDefault="008A6FD9" w:rsidP="00F64ACA">
      <w:pPr>
        <w:pStyle w:val="Heading1"/>
        <w:spacing w:line="276" w:lineRule="auto"/>
      </w:pPr>
      <w:r>
        <w:t>Financial Implications</w:t>
      </w:r>
    </w:p>
    <w:p w:rsidR="007675D5" w:rsidRDefault="007675D5" w:rsidP="00F64ACA">
      <w:pPr>
        <w:spacing w:line="276" w:lineRule="auto"/>
        <w:jc w:val="both"/>
        <w:rPr>
          <w:sz w:val="22"/>
        </w:rPr>
      </w:pPr>
      <w:r>
        <w:rPr>
          <w:sz w:val="22"/>
        </w:rPr>
        <w:t>A high level summary of the potential financial implications which may include;</w:t>
      </w:r>
    </w:p>
    <w:p w:rsidR="008A6FD9" w:rsidRPr="007675D5" w:rsidRDefault="008A6FD9" w:rsidP="007675D5">
      <w:pPr>
        <w:pStyle w:val="ListParagraph"/>
        <w:numPr>
          <w:ilvl w:val="0"/>
          <w:numId w:val="38"/>
        </w:numPr>
        <w:spacing w:line="276" w:lineRule="auto"/>
        <w:jc w:val="both"/>
        <w:rPr>
          <w:sz w:val="22"/>
        </w:rPr>
      </w:pPr>
      <w:r w:rsidRPr="007675D5">
        <w:rPr>
          <w:sz w:val="22"/>
        </w:rPr>
        <w:t>Capital costs</w:t>
      </w:r>
    </w:p>
    <w:p w:rsidR="008A6FD9" w:rsidRPr="007675D5" w:rsidRDefault="008A6FD9" w:rsidP="007675D5">
      <w:pPr>
        <w:pStyle w:val="ListParagraph"/>
        <w:numPr>
          <w:ilvl w:val="0"/>
          <w:numId w:val="38"/>
        </w:numPr>
        <w:spacing w:line="276" w:lineRule="auto"/>
        <w:jc w:val="both"/>
        <w:rPr>
          <w:sz w:val="22"/>
        </w:rPr>
      </w:pPr>
      <w:r w:rsidRPr="007675D5">
        <w:rPr>
          <w:sz w:val="22"/>
        </w:rPr>
        <w:t>Fixtures, fittings and equipment</w:t>
      </w:r>
    </w:p>
    <w:p w:rsidR="008A6FD9" w:rsidRPr="007675D5" w:rsidRDefault="008A6FD9" w:rsidP="007675D5">
      <w:pPr>
        <w:pStyle w:val="ListParagraph"/>
        <w:numPr>
          <w:ilvl w:val="0"/>
          <w:numId w:val="38"/>
        </w:numPr>
        <w:spacing w:line="276" w:lineRule="auto"/>
        <w:jc w:val="both"/>
        <w:rPr>
          <w:sz w:val="22"/>
        </w:rPr>
      </w:pPr>
      <w:r w:rsidRPr="007675D5">
        <w:rPr>
          <w:sz w:val="22"/>
        </w:rPr>
        <w:t>Total pay and non-pay costs</w:t>
      </w:r>
    </w:p>
    <w:p w:rsidR="008A6FD9" w:rsidRPr="00D6089C" w:rsidRDefault="007675D5" w:rsidP="00F64ACA">
      <w:pPr>
        <w:spacing w:line="276" w:lineRule="auto"/>
        <w:jc w:val="both"/>
        <w:rPr>
          <w:sz w:val="22"/>
        </w:rPr>
      </w:pPr>
      <w:r>
        <w:rPr>
          <w:sz w:val="22"/>
        </w:rPr>
        <w:t xml:space="preserve">Additionally, this section could </w:t>
      </w:r>
      <w:r w:rsidR="008A6FD9" w:rsidRPr="00D6089C">
        <w:rPr>
          <w:sz w:val="22"/>
        </w:rPr>
        <w:t>include predicted cost savings and/or losses</w:t>
      </w:r>
      <w:r>
        <w:rPr>
          <w:sz w:val="22"/>
        </w:rPr>
        <w:t xml:space="preserve"> associated with the continuation of services versus new proposals. </w:t>
      </w:r>
    </w:p>
    <w:p w:rsidR="008A6FD9" w:rsidRDefault="008A6FD9" w:rsidP="00F64ACA">
      <w:pPr>
        <w:spacing w:line="276" w:lineRule="auto"/>
        <w:jc w:val="both"/>
        <w:rPr>
          <w:rFonts w:ascii="Calibri" w:hAnsi="Calibri" w:cs="Arial"/>
        </w:rPr>
      </w:pPr>
    </w:p>
    <w:p w:rsidR="00592555" w:rsidRDefault="008A6FD9" w:rsidP="00F64ACA">
      <w:pPr>
        <w:pStyle w:val="Heading1"/>
        <w:spacing w:line="276" w:lineRule="auto"/>
      </w:pPr>
      <w:r>
        <w:t xml:space="preserve">Proposed outcomes / </w:t>
      </w:r>
      <w:r w:rsidR="008F6D6D">
        <w:t xml:space="preserve">Benefits </w:t>
      </w:r>
    </w:p>
    <w:p w:rsidR="007675D5" w:rsidRPr="007675D5" w:rsidRDefault="007675D5" w:rsidP="007675D5">
      <w:pPr>
        <w:spacing w:line="276" w:lineRule="auto"/>
        <w:jc w:val="both"/>
        <w:rPr>
          <w:sz w:val="22"/>
        </w:rPr>
      </w:pPr>
      <w:r>
        <w:rPr>
          <w:sz w:val="22"/>
        </w:rPr>
        <w:t>This section should include high level detail on potential benefits to be gained e.g.</w:t>
      </w:r>
    </w:p>
    <w:p w:rsidR="007675D5" w:rsidRDefault="007675D5" w:rsidP="007675D5">
      <w:pPr>
        <w:pStyle w:val="ListParagraph"/>
        <w:numPr>
          <w:ilvl w:val="0"/>
          <w:numId w:val="39"/>
        </w:numPr>
        <w:spacing w:line="276" w:lineRule="auto"/>
        <w:jc w:val="both"/>
        <w:rPr>
          <w:sz w:val="22"/>
        </w:rPr>
      </w:pPr>
      <w:r>
        <w:rPr>
          <w:sz w:val="22"/>
        </w:rPr>
        <w:t>Main advantage associated with the proposal</w:t>
      </w:r>
    </w:p>
    <w:p w:rsidR="008F6D6D" w:rsidRPr="007675D5" w:rsidRDefault="007675D5" w:rsidP="007675D5">
      <w:pPr>
        <w:pStyle w:val="ListParagraph"/>
        <w:numPr>
          <w:ilvl w:val="0"/>
          <w:numId w:val="39"/>
        </w:numPr>
        <w:spacing w:line="276" w:lineRule="auto"/>
        <w:jc w:val="both"/>
        <w:rPr>
          <w:sz w:val="22"/>
        </w:rPr>
      </w:pPr>
      <w:r>
        <w:rPr>
          <w:sz w:val="22"/>
        </w:rPr>
        <w:t xml:space="preserve">What </w:t>
      </w:r>
      <w:r w:rsidR="008F6D6D" w:rsidRPr="007675D5">
        <w:rPr>
          <w:sz w:val="22"/>
        </w:rPr>
        <w:t>will be delivered through the</w:t>
      </w:r>
      <w:r>
        <w:rPr>
          <w:sz w:val="22"/>
        </w:rPr>
        <w:t xml:space="preserve"> approval of this business case</w:t>
      </w:r>
    </w:p>
    <w:p w:rsidR="008A6FD9" w:rsidRPr="007675D5" w:rsidRDefault="008F6D6D" w:rsidP="007675D5">
      <w:pPr>
        <w:pStyle w:val="ListParagraph"/>
        <w:numPr>
          <w:ilvl w:val="0"/>
          <w:numId w:val="39"/>
        </w:numPr>
        <w:spacing w:line="276" w:lineRule="auto"/>
        <w:jc w:val="both"/>
        <w:rPr>
          <w:sz w:val="22"/>
        </w:rPr>
      </w:pPr>
      <w:r w:rsidRPr="007675D5">
        <w:rPr>
          <w:sz w:val="22"/>
        </w:rPr>
        <w:t>Cost benefits</w:t>
      </w:r>
      <w:r w:rsidR="008A6FD9" w:rsidRPr="007675D5">
        <w:rPr>
          <w:sz w:val="22"/>
        </w:rPr>
        <w:t xml:space="preserve"> – value for money</w:t>
      </w:r>
      <w:r w:rsidR="007675D5">
        <w:rPr>
          <w:sz w:val="22"/>
        </w:rPr>
        <w:t>, improved efficiencies for the hospital/ service</w:t>
      </w:r>
    </w:p>
    <w:p w:rsidR="008A6FD9" w:rsidRPr="007675D5" w:rsidRDefault="007675D5" w:rsidP="007675D5">
      <w:pPr>
        <w:pStyle w:val="ListParagraph"/>
        <w:numPr>
          <w:ilvl w:val="0"/>
          <w:numId w:val="39"/>
        </w:numPr>
        <w:spacing w:line="276" w:lineRule="auto"/>
        <w:jc w:val="both"/>
        <w:rPr>
          <w:sz w:val="22"/>
        </w:rPr>
      </w:pPr>
      <w:r>
        <w:rPr>
          <w:sz w:val="22"/>
        </w:rPr>
        <w:t>Safety gains for patient and staff</w:t>
      </w:r>
    </w:p>
    <w:p w:rsidR="008A6FD9" w:rsidRDefault="007675D5" w:rsidP="007675D5">
      <w:pPr>
        <w:pStyle w:val="ListParagraph"/>
        <w:numPr>
          <w:ilvl w:val="0"/>
          <w:numId w:val="39"/>
        </w:numPr>
        <w:spacing w:line="276" w:lineRule="auto"/>
        <w:jc w:val="both"/>
        <w:rPr>
          <w:sz w:val="22"/>
        </w:rPr>
      </w:pPr>
      <w:r>
        <w:rPr>
          <w:sz w:val="22"/>
        </w:rPr>
        <w:t>Efficiencies in other areas – e.g. reduction in outsourcing</w:t>
      </w:r>
    </w:p>
    <w:p w:rsidR="007E2EAA" w:rsidRPr="007675D5" w:rsidRDefault="007E2EAA" w:rsidP="007675D5">
      <w:pPr>
        <w:pStyle w:val="ListParagraph"/>
        <w:numPr>
          <w:ilvl w:val="0"/>
          <w:numId w:val="39"/>
        </w:numPr>
        <w:spacing w:line="276" w:lineRule="auto"/>
        <w:jc w:val="both"/>
        <w:rPr>
          <w:sz w:val="22"/>
        </w:rPr>
      </w:pPr>
      <w:r>
        <w:rPr>
          <w:sz w:val="22"/>
        </w:rPr>
        <w:t xml:space="preserve">Service provision for short expiry dates allowing wider range of treatment to be provided within the service for new services? </w:t>
      </w:r>
    </w:p>
    <w:p w:rsidR="008A68DE" w:rsidRDefault="008A68DE" w:rsidP="00F64ACA">
      <w:pPr>
        <w:spacing w:line="276" w:lineRule="auto"/>
        <w:jc w:val="both"/>
        <w:rPr>
          <w:rFonts w:ascii="Calibri" w:hAnsi="Calibri" w:cs="Arial"/>
        </w:rPr>
      </w:pPr>
    </w:p>
    <w:p w:rsidR="00F64ACA" w:rsidRDefault="00F64ACA" w:rsidP="00F64ACA">
      <w:pPr>
        <w:pStyle w:val="Heading1"/>
        <w:spacing w:line="276" w:lineRule="auto"/>
      </w:pPr>
      <w:r>
        <w:t>References</w:t>
      </w:r>
    </w:p>
    <w:p w:rsidR="00F64ACA" w:rsidRPr="00F64ACA" w:rsidRDefault="00F64ACA" w:rsidP="00F64ACA">
      <w:pPr>
        <w:pStyle w:val="ListParagraph"/>
        <w:numPr>
          <w:ilvl w:val="0"/>
          <w:numId w:val="34"/>
        </w:numPr>
        <w:spacing w:line="276" w:lineRule="auto"/>
        <w:jc w:val="both"/>
        <w:rPr>
          <w:sz w:val="22"/>
          <w:szCs w:val="22"/>
          <w:lang w:val="en-GB"/>
        </w:rPr>
      </w:pPr>
      <w:r w:rsidRPr="00F64ACA">
        <w:rPr>
          <w:sz w:val="22"/>
          <w:szCs w:val="22"/>
          <w:lang w:val="en-GB"/>
        </w:rPr>
        <w:t>HSE Guidelines for the Safe Administration of Cytotoxic Medical Preparations in the Treatment of Patients with Cancer. 1996</w:t>
      </w:r>
    </w:p>
    <w:p w:rsidR="00F64ACA" w:rsidRPr="008F3A16" w:rsidRDefault="00F64ACA" w:rsidP="00880916">
      <w:pPr>
        <w:pStyle w:val="ListParagraph"/>
        <w:numPr>
          <w:ilvl w:val="0"/>
          <w:numId w:val="34"/>
        </w:numPr>
        <w:spacing w:line="276" w:lineRule="auto"/>
        <w:jc w:val="both"/>
      </w:pPr>
      <w:r w:rsidRPr="008F3A16">
        <w:rPr>
          <w:sz w:val="22"/>
          <w:szCs w:val="22"/>
        </w:rPr>
        <w:t xml:space="preserve">NCRI. Cancer Incidence Projections for Ireland 2020-2045. </w:t>
      </w:r>
      <w:hyperlink r:id="rId10" w:history="1">
        <w:r w:rsidRPr="008F3A16">
          <w:rPr>
            <w:rStyle w:val="Hyperlink"/>
            <w:sz w:val="22"/>
            <w:szCs w:val="22"/>
          </w:rPr>
          <w:t>www.ncri.ie</w:t>
        </w:r>
      </w:hyperlink>
      <w:r w:rsidRPr="008F3A16">
        <w:rPr>
          <w:sz w:val="22"/>
          <w:szCs w:val="22"/>
        </w:rPr>
        <w:t>; 2019</w:t>
      </w:r>
    </w:p>
    <w:p w:rsidR="008F3A16" w:rsidRPr="008F3A16" w:rsidRDefault="008F3A16" w:rsidP="00880916">
      <w:pPr>
        <w:pStyle w:val="ListParagraph"/>
        <w:numPr>
          <w:ilvl w:val="0"/>
          <w:numId w:val="34"/>
        </w:numPr>
        <w:spacing w:line="276" w:lineRule="auto"/>
        <w:jc w:val="both"/>
        <w:rPr>
          <w:sz w:val="22"/>
          <w:szCs w:val="22"/>
          <w:lang w:val="en-GB"/>
        </w:rPr>
      </w:pPr>
      <w:r w:rsidRPr="008F3A16">
        <w:rPr>
          <w:sz w:val="22"/>
          <w:szCs w:val="22"/>
          <w:lang w:val="en-GB"/>
        </w:rPr>
        <w:t>HSE. Guideline on the Safe Handling a</w:t>
      </w:r>
      <w:r>
        <w:rPr>
          <w:sz w:val="22"/>
          <w:szCs w:val="22"/>
          <w:lang w:val="en-GB"/>
        </w:rPr>
        <w:t>nd Use of Cytotoxic Drugs. 2016</w:t>
      </w:r>
    </w:p>
    <w:sectPr w:rsidR="008F3A16" w:rsidRPr="008F3A16" w:rsidSect="00F53ECD">
      <w:footerReference w:type="default" r:id="rId11"/>
      <w:headerReference w:type="first" r:id="rId12"/>
      <w:footerReference w:type="first" r:id="rId13"/>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C9" w:rsidRDefault="00540DC9">
      <w:r>
        <w:separator/>
      </w:r>
    </w:p>
  </w:endnote>
  <w:endnote w:type="continuationSeparator" w:id="0">
    <w:p w:rsidR="00540DC9" w:rsidRDefault="00540DC9">
      <w:r>
        <w:continuationSeparator/>
      </w:r>
    </w:p>
  </w:endnote>
  <w:endnote w:type="continuationNotice" w:id="1">
    <w:p w:rsidR="00540DC9" w:rsidRDefault="00540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699904"/>
      <w:docPartObj>
        <w:docPartGallery w:val="Page Numbers (Bottom of Page)"/>
        <w:docPartUnique/>
      </w:docPartObj>
    </w:sdtPr>
    <w:sdtEndPr>
      <w:rPr>
        <w:noProof/>
      </w:rPr>
    </w:sdtEndPr>
    <w:sdtContent>
      <w:p w:rsidR="006F2B29" w:rsidRDefault="006F2B29">
        <w:pPr>
          <w:pStyle w:val="Footer"/>
          <w:jc w:val="right"/>
        </w:pPr>
        <w:r>
          <w:fldChar w:fldCharType="begin"/>
        </w:r>
        <w:r>
          <w:instrText xml:space="preserve"> PAGE   \* MERGEFORMAT </w:instrText>
        </w:r>
        <w:r>
          <w:fldChar w:fldCharType="separate"/>
        </w:r>
        <w:r w:rsidR="00492A86">
          <w:rPr>
            <w:noProof/>
          </w:rPr>
          <w:t>3</w:t>
        </w:r>
        <w:r>
          <w:rPr>
            <w:noProof/>
          </w:rPr>
          <w:fldChar w:fldCharType="end"/>
        </w:r>
      </w:p>
    </w:sdtContent>
  </w:sdt>
  <w:p w:rsidR="00540DC9" w:rsidRPr="004510D1" w:rsidRDefault="00540DC9">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649199"/>
      <w:docPartObj>
        <w:docPartGallery w:val="Page Numbers (Bottom of Page)"/>
        <w:docPartUnique/>
      </w:docPartObj>
    </w:sdtPr>
    <w:sdtEndPr>
      <w:rPr>
        <w:noProof/>
      </w:rPr>
    </w:sdtEndPr>
    <w:sdtContent>
      <w:p w:rsidR="00516A4F" w:rsidRDefault="00516A4F">
        <w:pPr>
          <w:pStyle w:val="Footer"/>
          <w:jc w:val="right"/>
        </w:pPr>
        <w:r>
          <w:fldChar w:fldCharType="begin"/>
        </w:r>
        <w:r>
          <w:instrText xml:space="preserve"> PAGE   \* MERGEFORMAT </w:instrText>
        </w:r>
        <w:r>
          <w:fldChar w:fldCharType="separate"/>
        </w:r>
        <w:r w:rsidR="00492A86">
          <w:rPr>
            <w:noProof/>
          </w:rPr>
          <w:t>1</w:t>
        </w:r>
        <w:r>
          <w:rPr>
            <w:noProof/>
          </w:rPr>
          <w:fldChar w:fldCharType="end"/>
        </w:r>
      </w:p>
    </w:sdtContent>
  </w:sdt>
  <w:p w:rsidR="00492F01" w:rsidRPr="00492F01" w:rsidRDefault="00492F0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C9" w:rsidRDefault="00540DC9">
      <w:r>
        <w:separator/>
      </w:r>
    </w:p>
  </w:footnote>
  <w:footnote w:type="continuationSeparator" w:id="0">
    <w:p w:rsidR="00540DC9" w:rsidRDefault="00540DC9">
      <w:r>
        <w:continuationSeparator/>
      </w:r>
    </w:p>
  </w:footnote>
  <w:footnote w:type="continuationNotice" w:id="1">
    <w:p w:rsidR="00540DC9" w:rsidRDefault="00540D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73" w:rsidRDefault="00465EEA">
    <w:pPr>
      <w:pStyle w:val="Header"/>
    </w:pPr>
    <w:r w:rsidRPr="004C6A41">
      <w:rPr>
        <w:rFonts w:ascii="Calibri" w:hAnsi="Calibri" w:cs="Arial"/>
        <w:noProof/>
        <w:lang w:val="en-IE" w:eastAsia="en-IE"/>
      </w:rPr>
      <w:drawing>
        <wp:anchor distT="0" distB="0" distL="114300" distR="114300" simplePos="0" relativeHeight="251657728" behindDoc="1" locked="0" layoutInCell="1" allowOverlap="1" wp14:anchorId="2EC671E6" wp14:editId="0E0C4F1D">
          <wp:simplePos x="0" y="0"/>
          <wp:positionH relativeFrom="column">
            <wp:posOffset>4659630</wp:posOffset>
          </wp:positionH>
          <wp:positionV relativeFrom="paragraph">
            <wp:posOffset>-307340</wp:posOffset>
          </wp:positionV>
          <wp:extent cx="1341755" cy="803275"/>
          <wp:effectExtent l="0" t="0" r="0" b="0"/>
          <wp:wrapTight wrapText="bothSides">
            <wp:wrapPolygon edited="0">
              <wp:start x="0" y="0"/>
              <wp:lineTo x="0" y="21002"/>
              <wp:lineTo x="21160" y="21002"/>
              <wp:lineTo x="2116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1755" cy="803275"/>
                  </a:xfrm>
                  <a:prstGeom prst="rect">
                    <a:avLst/>
                  </a:prstGeom>
                  <a:noFill/>
                </pic:spPr>
              </pic:pic>
            </a:graphicData>
          </a:graphic>
          <wp14:sizeRelH relativeFrom="margin">
            <wp14:pctWidth>0</wp14:pctWidth>
          </wp14:sizeRelH>
          <wp14:sizeRelV relativeFrom="margin">
            <wp14:pctHeight>0</wp14:pctHeight>
          </wp14:sizeRelV>
        </wp:anchor>
      </w:drawing>
    </w:r>
    <w:r w:rsidRPr="004C6A41">
      <w:rPr>
        <w:rFonts w:ascii="Calibri" w:hAnsi="Calibri" w:cs="Arial"/>
        <w:noProof/>
        <w:lang w:val="en-IE" w:eastAsia="en-IE"/>
      </w:rPr>
      <w:drawing>
        <wp:anchor distT="0" distB="0" distL="114300" distR="114300" simplePos="0" relativeHeight="251656704" behindDoc="1" locked="0" layoutInCell="1" allowOverlap="1" wp14:anchorId="0813F2E9" wp14:editId="005A9B88">
          <wp:simplePos x="0" y="0"/>
          <wp:positionH relativeFrom="column">
            <wp:posOffset>-436245</wp:posOffset>
          </wp:positionH>
          <wp:positionV relativeFrom="paragraph">
            <wp:posOffset>-250190</wp:posOffset>
          </wp:positionV>
          <wp:extent cx="2362200" cy="635635"/>
          <wp:effectExtent l="0" t="0" r="0" b="0"/>
          <wp:wrapTight wrapText="bothSides">
            <wp:wrapPolygon edited="0">
              <wp:start x="0" y="0"/>
              <wp:lineTo x="0" y="20715"/>
              <wp:lineTo x="21426" y="20715"/>
              <wp:lineTo x="2142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2200" cy="635635"/>
                  </a:xfrm>
                  <a:prstGeom prst="rect">
                    <a:avLst/>
                  </a:prstGeom>
                  <a:noFill/>
                </pic:spPr>
              </pic:pic>
            </a:graphicData>
          </a:graphic>
          <wp14:sizeRelH relativeFrom="margin">
            <wp14:pctWidth>0</wp14:pctWidth>
          </wp14:sizeRelH>
          <wp14:sizeRelV relativeFrom="margin">
            <wp14:pctHeight>0</wp14:pctHeight>
          </wp14:sizeRelV>
        </wp:anchor>
      </w:drawing>
    </w:r>
    <w:r w:rsidRPr="00465EEA">
      <w:rPr>
        <w:rFonts w:ascii="Calibri" w:hAnsi="Calibri" w:cs="Arial"/>
        <w:noProof/>
        <w:lang w:val="en-IE"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C03"/>
    <w:multiLevelType w:val="hybridMultilevel"/>
    <w:tmpl w:val="ED30D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2C40BC"/>
    <w:multiLevelType w:val="hybridMultilevel"/>
    <w:tmpl w:val="6B844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6"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845BBE"/>
    <w:multiLevelType w:val="hybridMultilevel"/>
    <w:tmpl w:val="83E8F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5"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C56730"/>
    <w:multiLevelType w:val="hybridMultilevel"/>
    <w:tmpl w:val="410A7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23794D"/>
    <w:multiLevelType w:val="multilevel"/>
    <w:tmpl w:val="0409001F"/>
    <w:numStyleLink w:val="111111"/>
  </w:abstractNum>
  <w:abstractNum w:abstractNumId="20"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9D3B7E"/>
    <w:multiLevelType w:val="hybridMultilevel"/>
    <w:tmpl w:val="FF307C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767480"/>
    <w:multiLevelType w:val="hybridMultilevel"/>
    <w:tmpl w:val="21DAFC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31"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5672F13"/>
    <w:multiLevelType w:val="multilevel"/>
    <w:tmpl w:val="937430C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66228A"/>
    <w:multiLevelType w:val="hybridMultilevel"/>
    <w:tmpl w:val="27DA24E2"/>
    <w:lvl w:ilvl="0" w:tplc="7C14A2B2">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14"/>
  </w:num>
  <w:num w:numId="4">
    <w:abstractNumId w:val="11"/>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9"/>
  </w:num>
  <w:num w:numId="8">
    <w:abstractNumId w:val="5"/>
  </w:num>
  <w:num w:numId="9">
    <w:abstractNumId w:val="22"/>
  </w:num>
  <w:num w:numId="10">
    <w:abstractNumId w:val="33"/>
  </w:num>
  <w:num w:numId="11">
    <w:abstractNumId w:val="26"/>
  </w:num>
  <w:num w:numId="12">
    <w:abstractNumId w:val="37"/>
  </w:num>
  <w:num w:numId="13">
    <w:abstractNumId w:val="21"/>
  </w:num>
  <w:num w:numId="14">
    <w:abstractNumId w:val="36"/>
  </w:num>
  <w:num w:numId="15">
    <w:abstractNumId w:val="18"/>
  </w:num>
  <w:num w:numId="16">
    <w:abstractNumId w:val="32"/>
  </w:num>
  <w:num w:numId="17">
    <w:abstractNumId w:val="9"/>
  </w:num>
  <w:num w:numId="18">
    <w:abstractNumId w:val="20"/>
  </w:num>
  <w:num w:numId="19">
    <w:abstractNumId w:val="12"/>
  </w:num>
  <w:num w:numId="20">
    <w:abstractNumId w:val="1"/>
  </w:num>
  <w:num w:numId="21">
    <w:abstractNumId w:val="15"/>
  </w:num>
  <w:num w:numId="22">
    <w:abstractNumId w:val="7"/>
  </w:num>
  <w:num w:numId="23">
    <w:abstractNumId w:val="35"/>
  </w:num>
  <w:num w:numId="24">
    <w:abstractNumId w:val="31"/>
  </w:num>
  <w:num w:numId="25">
    <w:abstractNumId w:val="2"/>
  </w:num>
  <w:num w:numId="26">
    <w:abstractNumId w:val="16"/>
  </w:num>
  <w:num w:numId="27">
    <w:abstractNumId w:val="6"/>
  </w:num>
  <w:num w:numId="28">
    <w:abstractNumId w:val="28"/>
  </w:num>
  <w:num w:numId="29">
    <w:abstractNumId w:val="8"/>
  </w:num>
  <w:num w:numId="30">
    <w:abstractNumId w:val="23"/>
  </w:num>
  <w:num w:numId="31">
    <w:abstractNumId w:val="13"/>
  </w:num>
  <w:num w:numId="32">
    <w:abstractNumId w:val="27"/>
  </w:num>
  <w:num w:numId="33">
    <w:abstractNumId w:val="10"/>
  </w:num>
  <w:num w:numId="34">
    <w:abstractNumId w:val="34"/>
  </w:num>
  <w:num w:numId="35">
    <w:abstractNumId w:val="17"/>
  </w:num>
  <w:num w:numId="36">
    <w:abstractNumId w:val="24"/>
  </w:num>
  <w:num w:numId="37">
    <w:abstractNumId w:val="29"/>
  </w:num>
  <w:num w:numId="38">
    <w:abstractNumId w:val="4"/>
  </w:num>
  <w:num w:numId="3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307DC"/>
    <w:rsid w:val="00051766"/>
    <w:rsid w:val="00054748"/>
    <w:rsid w:val="00087B81"/>
    <w:rsid w:val="0009311B"/>
    <w:rsid w:val="000A42B5"/>
    <w:rsid w:val="000C2C2D"/>
    <w:rsid w:val="000C58C8"/>
    <w:rsid w:val="000C75B2"/>
    <w:rsid w:val="000D1F77"/>
    <w:rsid w:val="000D3603"/>
    <w:rsid w:val="000E3022"/>
    <w:rsid w:val="000E7E83"/>
    <w:rsid w:val="000F13BF"/>
    <w:rsid w:val="000F77AF"/>
    <w:rsid w:val="000F7C92"/>
    <w:rsid w:val="00106D5E"/>
    <w:rsid w:val="00107396"/>
    <w:rsid w:val="00114F9F"/>
    <w:rsid w:val="00121F82"/>
    <w:rsid w:val="001401A5"/>
    <w:rsid w:val="00141292"/>
    <w:rsid w:val="00151D02"/>
    <w:rsid w:val="001538AC"/>
    <w:rsid w:val="00155A52"/>
    <w:rsid w:val="00156E29"/>
    <w:rsid w:val="001741C6"/>
    <w:rsid w:val="00176F6B"/>
    <w:rsid w:val="00190568"/>
    <w:rsid w:val="001A3B03"/>
    <w:rsid w:val="001A7DB4"/>
    <w:rsid w:val="001C3FE0"/>
    <w:rsid w:val="001D4CC3"/>
    <w:rsid w:val="00203425"/>
    <w:rsid w:val="0020607A"/>
    <w:rsid w:val="00206ACE"/>
    <w:rsid w:val="00210B4F"/>
    <w:rsid w:val="00220C7A"/>
    <w:rsid w:val="00221C58"/>
    <w:rsid w:val="002254A6"/>
    <w:rsid w:val="00225EE9"/>
    <w:rsid w:val="002300A3"/>
    <w:rsid w:val="0023442E"/>
    <w:rsid w:val="00235AFC"/>
    <w:rsid w:val="00237A10"/>
    <w:rsid w:val="00240CD9"/>
    <w:rsid w:val="00245F0B"/>
    <w:rsid w:val="0025029B"/>
    <w:rsid w:val="00253B8B"/>
    <w:rsid w:val="002610D2"/>
    <w:rsid w:val="00263F29"/>
    <w:rsid w:val="0027522E"/>
    <w:rsid w:val="00276BA1"/>
    <w:rsid w:val="00280AFA"/>
    <w:rsid w:val="002943F2"/>
    <w:rsid w:val="00295A89"/>
    <w:rsid w:val="002A6132"/>
    <w:rsid w:val="002E4A43"/>
    <w:rsid w:val="002E645C"/>
    <w:rsid w:val="002E6FF0"/>
    <w:rsid w:val="002E71AD"/>
    <w:rsid w:val="002E7CA0"/>
    <w:rsid w:val="002F37BC"/>
    <w:rsid w:val="00306A7A"/>
    <w:rsid w:val="00323B00"/>
    <w:rsid w:val="00325479"/>
    <w:rsid w:val="003520A8"/>
    <w:rsid w:val="00353252"/>
    <w:rsid w:val="003738B7"/>
    <w:rsid w:val="00385567"/>
    <w:rsid w:val="003A7B0D"/>
    <w:rsid w:val="003B5227"/>
    <w:rsid w:val="003C23BD"/>
    <w:rsid w:val="003C3487"/>
    <w:rsid w:val="003D1FD3"/>
    <w:rsid w:val="003D7F36"/>
    <w:rsid w:val="003E0ED5"/>
    <w:rsid w:val="0040427B"/>
    <w:rsid w:val="004060F0"/>
    <w:rsid w:val="00406FF7"/>
    <w:rsid w:val="0041555F"/>
    <w:rsid w:val="00425832"/>
    <w:rsid w:val="00432DEE"/>
    <w:rsid w:val="00442E23"/>
    <w:rsid w:val="004451CE"/>
    <w:rsid w:val="004510D1"/>
    <w:rsid w:val="00453E69"/>
    <w:rsid w:val="00456D47"/>
    <w:rsid w:val="00463316"/>
    <w:rsid w:val="00465EEA"/>
    <w:rsid w:val="004712F8"/>
    <w:rsid w:val="0048232D"/>
    <w:rsid w:val="00487C9F"/>
    <w:rsid w:val="00492A86"/>
    <w:rsid w:val="00492F01"/>
    <w:rsid w:val="0049439C"/>
    <w:rsid w:val="004975A8"/>
    <w:rsid w:val="004B272E"/>
    <w:rsid w:val="004C227B"/>
    <w:rsid w:val="004C6A41"/>
    <w:rsid w:val="004C6CE3"/>
    <w:rsid w:val="004D5726"/>
    <w:rsid w:val="004E0230"/>
    <w:rsid w:val="004E02CA"/>
    <w:rsid w:val="004F6B69"/>
    <w:rsid w:val="004F783F"/>
    <w:rsid w:val="00502FC3"/>
    <w:rsid w:val="00516A4F"/>
    <w:rsid w:val="00517D90"/>
    <w:rsid w:val="005306E4"/>
    <w:rsid w:val="00540DC9"/>
    <w:rsid w:val="00540EA3"/>
    <w:rsid w:val="00542153"/>
    <w:rsid w:val="00545B1F"/>
    <w:rsid w:val="0056492B"/>
    <w:rsid w:val="0056777C"/>
    <w:rsid w:val="00576AF1"/>
    <w:rsid w:val="005810BA"/>
    <w:rsid w:val="00582C57"/>
    <w:rsid w:val="00587C12"/>
    <w:rsid w:val="005904BE"/>
    <w:rsid w:val="00592555"/>
    <w:rsid w:val="005A024C"/>
    <w:rsid w:val="005A4044"/>
    <w:rsid w:val="005B1AA7"/>
    <w:rsid w:val="005C1783"/>
    <w:rsid w:val="005C2211"/>
    <w:rsid w:val="005D1C86"/>
    <w:rsid w:val="005E5BC9"/>
    <w:rsid w:val="005F580F"/>
    <w:rsid w:val="005F7534"/>
    <w:rsid w:val="00612B07"/>
    <w:rsid w:val="0062274B"/>
    <w:rsid w:val="00623578"/>
    <w:rsid w:val="00634B33"/>
    <w:rsid w:val="00641DDF"/>
    <w:rsid w:val="006423E1"/>
    <w:rsid w:val="006512F4"/>
    <w:rsid w:val="00663B74"/>
    <w:rsid w:val="0067344B"/>
    <w:rsid w:val="00675402"/>
    <w:rsid w:val="00684224"/>
    <w:rsid w:val="006A677F"/>
    <w:rsid w:val="006B7F6B"/>
    <w:rsid w:val="006C0754"/>
    <w:rsid w:val="006C2C67"/>
    <w:rsid w:val="006D3B35"/>
    <w:rsid w:val="006D3E58"/>
    <w:rsid w:val="006F09B7"/>
    <w:rsid w:val="006F2B29"/>
    <w:rsid w:val="006F5AFB"/>
    <w:rsid w:val="007074F6"/>
    <w:rsid w:val="00713BB5"/>
    <w:rsid w:val="00716858"/>
    <w:rsid w:val="00717485"/>
    <w:rsid w:val="00723A72"/>
    <w:rsid w:val="00730EB8"/>
    <w:rsid w:val="00737CFE"/>
    <w:rsid w:val="00747D37"/>
    <w:rsid w:val="0075397A"/>
    <w:rsid w:val="007551F9"/>
    <w:rsid w:val="00757CF0"/>
    <w:rsid w:val="007602FF"/>
    <w:rsid w:val="007675D5"/>
    <w:rsid w:val="00783277"/>
    <w:rsid w:val="00787902"/>
    <w:rsid w:val="0079186D"/>
    <w:rsid w:val="00791877"/>
    <w:rsid w:val="00791A65"/>
    <w:rsid w:val="007A6436"/>
    <w:rsid w:val="007B39BC"/>
    <w:rsid w:val="007B7480"/>
    <w:rsid w:val="007B7DC7"/>
    <w:rsid w:val="007D5873"/>
    <w:rsid w:val="007E2EAA"/>
    <w:rsid w:val="00802C64"/>
    <w:rsid w:val="00815468"/>
    <w:rsid w:val="00824C99"/>
    <w:rsid w:val="008255C8"/>
    <w:rsid w:val="00834E02"/>
    <w:rsid w:val="00834E0E"/>
    <w:rsid w:val="008363BD"/>
    <w:rsid w:val="00842960"/>
    <w:rsid w:val="00850314"/>
    <w:rsid w:val="0085326F"/>
    <w:rsid w:val="008569F4"/>
    <w:rsid w:val="00857D59"/>
    <w:rsid w:val="008612C6"/>
    <w:rsid w:val="008705A8"/>
    <w:rsid w:val="00870D14"/>
    <w:rsid w:val="00871545"/>
    <w:rsid w:val="00882D9E"/>
    <w:rsid w:val="008936F1"/>
    <w:rsid w:val="008A21FD"/>
    <w:rsid w:val="008A4CC1"/>
    <w:rsid w:val="008A68DE"/>
    <w:rsid w:val="008A6FD9"/>
    <w:rsid w:val="008A7A9E"/>
    <w:rsid w:val="008B5A0A"/>
    <w:rsid w:val="008C177D"/>
    <w:rsid w:val="008D6318"/>
    <w:rsid w:val="008E1793"/>
    <w:rsid w:val="008E7026"/>
    <w:rsid w:val="008E7919"/>
    <w:rsid w:val="008F3A16"/>
    <w:rsid w:val="008F452E"/>
    <w:rsid w:val="008F61FB"/>
    <w:rsid w:val="008F6D6D"/>
    <w:rsid w:val="00906555"/>
    <w:rsid w:val="00911422"/>
    <w:rsid w:val="00923BF5"/>
    <w:rsid w:val="00931BC9"/>
    <w:rsid w:val="009470E2"/>
    <w:rsid w:val="0095052B"/>
    <w:rsid w:val="00956FEE"/>
    <w:rsid w:val="009605BD"/>
    <w:rsid w:val="00965FF5"/>
    <w:rsid w:val="009669C0"/>
    <w:rsid w:val="0098112F"/>
    <w:rsid w:val="0099446F"/>
    <w:rsid w:val="00995B00"/>
    <w:rsid w:val="009A3436"/>
    <w:rsid w:val="009B02D5"/>
    <w:rsid w:val="009C5A5F"/>
    <w:rsid w:val="009D4C23"/>
    <w:rsid w:val="009D78DE"/>
    <w:rsid w:val="009E3419"/>
    <w:rsid w:val="009E3801"/>
    <w:rsid w:val="00A11DD7"/>
    <w:rsid w:val="00A304F4"/>
    <w:rsid w:val="00A35994"/>
    <w:rsid w:val="00A45E06"/>
    <w:rsid w:val="00A538DC"/>
    <w:rsid w:val="00A562EC"/>
    <w:rsid w:val="00A56439"/>
    <w:rsid w:val="00A72CF5"/>
    <w:rsid w:val="00A765DA"/>
    <w:rsid w:val="00A94CF3"/>
    <w:rsid w:val="00AA4739"/>
    <w:rsid w:val="00AA5797"/>
    <w:rsid w:val="00AA6CE5"/>
    <w:rsid w:val="00AB6B8C"/>
    <w:rsid w:val="00AB6CC9"/>
    <w:rsid w:val="00AC1D4C"/>
    <w:rsid w:val="00AC215B"/>
    <w:rsid w:val="00AC2D44"/>
    <w:rsid w:val="00AC7671"/>
    <w:rsid w:val="00AD6299"/>
    <w:rsid w:val="00AD7094"/>
    <w:rsid w:val="00AD79AD"/>
    <w:rsid w:val="00AE0024"/>
    <w:rsid w:val="00AF27E6"/>
    <w:rsid w:val="00AF3561"/>
    <w:rsid w:val="00AF6552"/>
    <w:rsid w:val="00B17229"/>
    <w:rsid w:val="00B17E7B"/>
    <w:rsid w:val="00B35C7B"/>
    <w:rsid w:val="00B37148"/>
    <w:rsid w:val="00B436E1"/>
    <w:rsid w:val="00B54B68"/>
    <w:rsid w:val="00B554A1"/>
    <w:rsid w:val="00B61E45"/>
    <w:rsid w:val="00B6207E"/>
    <w:rsid w:val="00B65B3A"/>
    <w:rsid w:val="00B74D26"/>
    <w:rsid w:val="00B75041"/>
    <w:rsid w:val="00B77A88"/>
    <w:rsid w:val="00B8373F"/>
    <w:rsid w:val="00B90926"/>
    <w:rsid w:val="00B93689"/>
    <w:rsid w:val="00BA1326"/>
    <w:rsid w:val="00BA32B3"/>
    <w:rsid w:val="00BB3031"/>
    <w:rsid w:val="00BC2533"/>
    <w:rsid w:val="00BC7E87"/>
    <w:rsid w:val="00BD4A76"/>
    <w:rsid w:val="00BD659F"/>
    <w:rsid w:val="00BF0A05"/>
    <w:rsid w:val="00C039C7"/>
    <w:rsid w:val="00C1426A"/>
    <w:rsid w:val="00C31B70"/>
    <w:rsid w:val="00C31BAD"/>
    <w:rsid w:val="00C372C3"/>
    <w:rsid w:val="00C5008A"/>
    <w:rsid w:val="00C675CE"/>
    <w:rsid w:val="00C67CF3"/>
    <w:rsid w:val="00C71E05"/>
    <w:rsid w:val="00C77082"/>
    <w:rsid w:val="00C87261"/>
    <w:rsid w:val="00C931AB"/>
    <w:rsid w:val="00C940BE"/>
    <w:rsid w:val="00CA6B24"/>
    <w:rsid w:val="00CB21DB"/>
    <w:rsid w:val="00CB2A2F"/>
    <w:rsid w:val="00CB3CCF"/>
    <w:rsid w:val="00CD4509"/>
    <w:rsid w:val="00CE3D7C"/>
    <w:rsid w:val="00D01034"/>
    <w:rsid w:val="00D1086E"/>
    <w:rsid w:val="00D1203A"/>
    <w:rsid w:val="00D12FA1"/>
    <w:rsid w:val="00D166BA"/>
    <w:rsid w:val="00D22921"/>
    <w:rsid w:val="00D255D0"/>
    <w:rsid w:val="00D26799"/>
    <w:rsid w:val="00D36FE9"/>
    <w:rsid w:val="00D41F7C"/>
    <w:rsid w:val="00D45CF2"/>
    <w:rsid w:val="00D52190"/>
    <w:rsid w:val="00D57B6A"/>
    <w:rsid w:val="00D6089C"/>
    <w:rsid w:val="00D70381"/>
    <w:rsid w:val="00D724EE"/>
    <w:rsid w:val="00D81D4C"/>
    <w:rsid w:val="00D84DD7"/>
    <w:rsid w:val="00D951AB"/>
    <w:rsid w:val="00DA04F1"/>
    <w:rsid w:val="00DB38EA"/>
    <w:rsid w:val="00DE1086"/>
    <w:rsid w:val="00E02179"/>
    <w:rsid w:val="00E02293"/>
    <w:rsid w:val="00E0526A"/>
    <w:rsid w:val="00E11B1A"/>
    <w:rsid w:val="00E147BF"/>
    <w:rsid w:val="00E16053"/>
    <w:rsid w:val="00E26CE0"/>
    <w:rsid w:val="00E27FA3"/>
    <w:rsid w:val="00E329B5"/>
    <w:rsid w:val="00E3757E"/>
    <w:rsid w:val="00E43890"/>
    <w:rsid w:val="00E44A1C"/>
    <w:rsid w:val="00E46A9B"/>
    <w:rsid w:val="00E50533"/>
    <w:rsid w:val="00E610A6"/>
    <w:rsid w:val="00E62135"/>
    <w:rsid w:val="00E6311A"/>
    <w:rsid w:val="00E66685"/>
    <w:rsid w:val="00E70D97"/>
    <w:rsid w:val="00E7586E"/>
    <w:rsid w:val="00E80CFF"/>
    <w:rsid w:val="00E81AF5"/>
    <w:rsid w:val="00EB14A4"/>
    <w:rsid w:val="00ED4E3F"/>
    <w:rsid w:val="00ED50A9"/>
    <w:rsid w:val="00ED54DE"/>
    <w:rsid w:val="00ED5DB7"/>
    <w:rsid w:val="00ED7D68"/>
    <w:rsid w:val="00EE34B3"/>
    <w:rsid w:val="00EE487F"/>
    <w:rsid w:val="00EF05C8"/>
    <w:rsid w:val="00EF3E2F"/>
    <w:rsid w:val="00EF42BD"/>
    <w:rsid w:val="00F015DF"/>
    <w:rsid w:val="00F05BED"/>
    <w:rsid w:val="00F06DB6"/>
    <w:rsid w:val="00F10E41"/>
    <w:rsid w:val="00F137F5"/>
    <w:rsid w:val="00F22AEF"/>
    <w:rsid w:val="00F41FD4"/>
    <w:rsid w:val="00F47DA0"/>
    <w:rsid w:val="00F515A7"/>
    <w:rsid w:val="00F53ECD"/>
    <w:rsid w:val="00F64ACA"/>
    <w:rsid w:val="00F66D2F"/>
    <w:rsid w:val="00F67574"/>
    <w:rsid w:val="00F71B5D"/>
    <w:rsid w:val="00F862E2"/>
    <w:rsid w:val="00FA6CF3"/>
    <w:rsid w:val="00FB4B79"/>
    <w:rsid w:val="00FC1A36"/>
    <w:rsid w:val="00FC7FED"/>
    <w:rsid w:val="00FD1251"/>
    <w:rsid w:val="00FD4589"/>
    <w:rsid w:val="00FD688E"/>
    <w:rsid w:val="00FE1240"/>
    <w:rsid w:val="00FE3074"/>
    <w:rsid w:val="00FE7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2FFBDD"/>
  <w15:docId w15:val="{30B17CB2-BB60-4D03-9A1F-FA1DE51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0A"/>
    <w:rPr>
      <w:rFonts w:asciiTheme="minorHAnsi" w:hAnsiTheme="minorHAnsi"/>
      <w:sz w:val="24"/>
      <w:szCs w:val="24"/>
      <w:lang w:val="en-GB" w:eastAsia="en-US"/>
    </w:rPr>
  </w:style>
  <w:style w:type="paragraph" w:styleId="Heading1">
    <w:name w:val="heading 1"/>
    <w:basedOn w:val="Normal"/>
    <w:next w:val="Normal"/>
    <w:autoRedefine/>
    <w:qFormat/>
    <w:rsid w:val="00ED54DE"/>
    <w:pPr>
      <w:keepNext/>
      <w:numPr>
        <w:numId w:val="16"/>
      </w:numPr>
      <w:spacing w:before="240" w:after="60"/>
      <w:jc w:val="both"/>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592555"/>
    <w:pPr>
      <w:keepNext/>
      <w:numPr>
        <w:ilvl w:val="1"/>
        <w:numId w:val="16"/>
      </w:numPr>
      <w:tabs>
        <w:tab w:val="clear" w:pos="2736"/>
      </w:tabs>
      <w:spacing w:before="240" w:after="60"/>
      <w:ind w:left="567" w:hanging="567"/>
      <w:jc w:val="both"/>
      <w:outlineLvl w:val="1"/>
    </w:pPr>
    <w:rPr>
      <w:rFonts w:eastAsia="MS Gothic"/>
      <w:b/>
      <w:bCs/>
      <w:iCs/>
      <w:color w:val="000000" w:themeColor="text1"/>
      <w:szCs w:val="28"/>
    </w:rPr>
  </w:style>
  <w:style w:type="paragraph" w:styleId="Heading3">
    <w:name w:val="heading 3"/>
    <w:basedOn w:val="Normal"/>
    <w:next w:val="Normal"/>
    <w:qFormat/>
    <w:rsid w:val="00D12FA1"/>
    <w:pPr>
      <w:keepNext/>
      <w:numPr>
        <w:ilvl w:val="2"/>
        <w:numId w:val="16"/>
      </w:numPr>
      <w:spacing w:before="240" w:after="60"/>
      <w:outlineLvl w:val="2"/>
    </w:pPr>
    <w:rPr>
      <w:rFonts w:cs="Arial"/>
      <w:bCs/>
      <w:sz w:val="26"/>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592555"/>
    <w:rPr>
      <w:rFonts w:asciiTheme="minorHAnsi" w:eastAsia="MS Gothic" w:hAnsiTheme="minorHAnsi"/>
      <w:b/>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jc w:val="both"/>
    </w:pPr>
    <w:rPr>
      <w:sz w:val="20"/>
      <w:szCs w:val="20"/>
      <w:lang w:val="en-IE"/>
    </w:rPr>
  </w:style>
  <w:style w:type="paragraph" w:styleId="ListParagraph">
    <w:name w:val="List Paragraph"/>
    <w:basedOn w:val="Normal"/>
    <w:link w:val="ListParagraphChar"/>
    <w:uiPriority w:val="34"/>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pPr>
      <w:jc w:val="both"/>
    </w:pPr>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styleId="Emphasis">
    <w:name w:val="Emphasis"/>
    <w:basedOn w:val="DefaultParagraphFont"/>
    <w:qFormat/>
    <w:rsid w:val="00E81AF5"/>
    <w:rPr>
      <w:i/>
      <w:iCs/>
    </w:rPr>
  </w:style>
  <w:style w:type="character" w:customStyle="1" w:styleId="ListParagraphChar">
    <w:name w:val="List Paragraph Char"/>
    <w:link w:val="ListParagraph"/>
    <w:uiPriority w:val="34"/>
    <w:locked/>
    <w:rsid w:val="00F64ACA"/>
    <w:rPr>
      <w:rFonts w:asciiTheme="minorHAnsi"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cri.ie" TargetMode="External"/><Relationship Id="rId4" Type="http://schemas.openxmlformats.org/officeDocument/2006/relationships/styles" Target="styles.xml"/><Relationship Id="rId9" Type="http://schemas.openxmlformats.org/officeDocument/2006/relationships/hyperlink" Target="mailto:oncologydrugs@cancercontrol.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EC28B-B896-4621-9FF3-F943BEEB1234}">
  <ds:schemaRefs>
    <ds:schemaRef ds:uri="http://schemas.openxmlformats.org/officeDocument/2006/bibliography"/>
  </ds:schemaRefs>
</ds:datastoreItem>
</file>

<file path=customXml/itemProps2.xml><?xml version="1.0" encoding="utf-8"?>
<ds:datastoreItem xmlns:ds="http://schemas.openxmlformats.org/officeDocument/2006/customXml" ds:itemID="{B4188E6C-5FF3-467B-9F2C-F8F4966F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NCCP Dose Banding guidance</vt:lpstr>
    </vt:vector>
  </TitlesOfParts>
  <Company>NCCP</Company>
  <LinksUpToDate>false</LinksUpToDate>
  <CharactersWithSpaces>4555</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Dose Banding guidance</dc:title>
  <dc:creator>Patricia Heckmann, AM DeFrein</dc:creator>
  <cp:lastModifiedBy>Elizabeth Breen</cp:lastModifiedBy>
  <cp:revision>3</cp:revision>
  <cp:lastPrinted>2019-08-22T11:50:00Z</cp:lastPrinted>
  <dcterms:created xsi:type="dcterms:W3CDTF">2020-11-10T16:35:00Z</dcterms:created>
  <dcterms:modified xsi:type="dcterms:W3CDTF">2020-11-10T16:41:00Z</dcterms:modified>
</cp:coreProperties>
</file>